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1C" w:rsidRPr="00E323AC" w:rsidRDefault="00E323AC" w:rsidP="00E323AC">
      <w:pPr>
        <w:jc w:val="center"/>
        <w:rPr>
          <w:b/>
        </w:rPr>
      </w:pPr>
      <w:r w:rsidRPr="00E323AC">
        <w:rPr>
          <w:b/>
        </w:rPr>
        <w:t>KARAMANOĞLU MEHMETBEY ÜNİVERSİTESİ</w:t>
      </w:r>
    </w:p>
    <w:p w:rsidR="00E323AC" w:rsidRDefault="00E323AC" w:rsidP="00E323AC">
      <w:pPr>
        <w:jc w:val="center"/>
        <w:rPr>
          <w:b/>
        </w:rPr>
      </w:pPr>
      <w:r w:rsidRPr="00E323AC">
        <w:rPr>
          <w:b/>
        </w:rPr>
        <w:t>ÖĞRENCİ İŞLERİ DAİRE BAŞKANLIĞINA</w:t>
      </w:r>
    </w:p>
    <w:p w:rsidR="00E323AC" w:rsidRDefault="00E323AC" w:rsidP="00E323AC">
      <w:pPr>
        <w:jc w:val="center"/>
        <w:rPr>
          <w:b/>
        </w:rPr>
      </w:pPr>
    </w:p>
    <w:p w:rsidR="00E323AC" w:rsidRDefault="00E323AC" w:rsidP="00E323AC">
      <w:pPr>
        <w:jc w:val="both"/>
        <w:rPr>
          <w:b/>
        </w:rPr>
      </w:pPr>
    </w:p>
    <w:p w:rsidR="00E323AC" w:rsidRDefault="00E323AC" w:rsidP="00E323AC">
      <w:pPr>
        <w:ind w:firstLine="708"/>
        <w:jc w:val="both"/>
      </w:pPr>
      <w:r w:rsidRPr="00E323AC">
        <w:t>Olağanüstü Hal Kapsamında Yükseköğretim Alanında Alınan Tedbirlere İlişkin Cumhurbaşkanlığı Kararnamesi (Kararname Numarası: 129) kapsamında</w:t>
      </w:r>
      <w:r>
        <w:t>;</w:t>
      </w:r>
    </w:p>
    <w:p w:rsidR="00BC05B4" w:rsidRDefault="001F460E" w:rsidP="00E323AC">
      <w:pPr>
        <w:ind w:firstLine="708"/>
        <w:jc w:val="both"/>
      </w:pPr>
      <w:proofErr w:type="gramStart"/>
      <w:r w:rsidRPr="001F460E">
        <w:t>06 Şubat 2023 tarihinde Kahramanmaraş, Adana, Adıyaman, Diyarbakır, Gaziantep, Hatay, Kilis, Malatya, Osmaniye ve Şanlıurfa illerinde yaşanan deprem nedeniyle ailesi veya kendisi bu illerde ikamet eden</w:t>
      </w:r>
      <w:r w:rsidR="00E323AC" w:rsidRPr="00E323AC">
        <w:t xml:space="preserve"> öğrencileri</w:t>
      </w:r>
      <w:r w:rsidR="00E323AC">
        <w:t xml:space="preserve">n </w:t>
      </w:r>
      <w:r w:rsidR="00E323AC" w:rsidRPr="00E323AC">
        <w:t>2022-2023 eğitim-öğretim yılı bahar yarıyılı için katkı payı ve öğrenim ücreti</w:t>
      </w:r>
      <w:r w:rsidR="00E323AC">
        <w:t xml:space="preserve"> (YÖS kapsamında kayıt olanlar hariç) iade</w:t>
      </w:r>
      <w:r>
        <w:t>si</w:t>
      </w:r>
      <w:r w:rsidR="00E323AC">
        <w:t xml:space="preserve"> ve ücret ödememelerine ilişkin</w:t>
      </w:r>
      <w:r>
        <w:t>,</w:t>
      </w:r>
      <w:r w:rsidR="00E323AC">
        <w:t xml:space="preserve"> belirtile</w:t>
      </w:r>
      <w:r w:rsidR="00BC05B4">
        <w:t>n kapsamda işlem yapılması ve aşağıda belirtmiş olduğum şahsıma ait olan IBAN bilgilerime ücret iadesinin yapılması</w:t>
      </w:r>
      <w:r w:rsidR="003C2DF1">
        <w:t xml:space="preserve"> hususunda g</w:t>
      </w:r>
      <w:r w:rsidR="00BC05B4">
        <w:t>ereğini bilgilerinize arz ederim.</w:t>
      </w:r>
      <w:proofErr w:type="gramEnd"/>
    </w:p>
    <w:p w:rsidR="009A19FD" w:rsidRDefault="009A19FD" w:rsidP="009A19FD">
      <w:pPr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İmza:</w:t>
      </w:r>
    </w:p>
    <w:p w:rsidR="009A19FD" w:rsidRDefault="009A19FD" w:rsidP="00E323A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T.C</w:t>
      </w:r>
      <w:proofErr w:type="gramStart"/>
      <w:r>
        <w:t>.:</w:t>
      </w:r>
      <w:proofErr w:type="gramEnd"/>
    </w:p>
    <w:p w:rsidR="009A19FD" w:rsidRDefault="009A19FD" w:rsidP="009A19FD">
      <w:pPr>
        <w:ind w:left="4956" w:firstLine="708"/>
        <w:jc w:val="both"/>
      </w:pPr>
      <w:r>
        <w:t xml:space="preserve">       Ad </w:t>
      </w:r>
      <w:proofErr w:type="spellStart"/>
      <w:r>
        <w:t>Soyad</w:t>
      </w:r>
      <w:proofErr w:type="spellEnd"/>
      <w:r>
        <w:t>:</w:t>
      </w:r>
    </w:p>
    <w:p w:rsidR="00BC05B4" w:rsidRDefault="009A19FD" w:rsidP="00E323A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BC05B4" w:rsidRDefault="00BC05B4" w:rsidP="00E323AC">
      <w:pPr>
        <w:ind w:firstLine="708"/>
        <w:jc w:val="both"/>
      </w:pPr>
    </w:p>
    <w:p w:rsidR="00BC05B4" w:rsidRDefault="00BC05B4" w:rsidP="00BC05B4">
      <w:pPr>
        <w:pStyle w:val="GvdeMetni"/>
        <w:ind w:left="137"/>
      </w:pPr>
      <w:r>
        <w:rPr>
          <w:u w:val="single"/>
        </w:rPr>
        <w:t xml:space="preserve">HESAP </w:t>
      </w:r>
      <w:proofErr w:type="gramStart"/>
      <w:r>
        <w:rPr>
          <w:u w:val="single"/>
        </w:rPr>
        <w:t>BİLGİLERİ</w:t>
      </w:r>
      <w:r>
        <w:t xml:space="preserve"> :</w:t>
      </w:r>
      <w:proofErr w:type="gramEnd"/>
    </w:p>
    <w:p w:rsidR="00BC05B4" w:rsidRDefault="00BC05B4" w:rsidP="00BC05B4">
      <w:pPr>
        <w:spacing w:before="78"/>
        <w:ind w:left="137"/>
        <w:rPr>
          <w:sz w:val="15"/>
        </w:rPr>
      </w:pPr>
      <w:r>
        <w:rPr>
          <w:sz w:val="15"/>
        </w:rPr>
        <w:t>(Not: IBAN bilgisi bulunmayan veya kişinin kendi adına olmayan banka hesaplarına ödeme yapılamamaktadır.)</w:t>
      </w:r>
    </w:p>
    <w:p w:rsidR="00BC05B4" w:rsidRDefault="00BC05B4" w:rsidP="00BC05B4">
      <w:pPr>
        <w:pStyle w:val="GvdeMetni"/>
        <w:spacing w:before="9"/>
        <w:rPr>
          <w:sz w:val="13"/>
        </w:rPr>
      </w:pPr>
    </w:p>
    <w:tbl>
      <w:tblPr>
        <w:tblStyle w:val="TableNormal"/>
        <w:tblW w:w="8951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83"/>
      </w:tblGrid>
      <w:tr w:rsidR="00BC05B4" w:rsidTr="00BC05B4">
        <w:trPr>
          <w:trHeight w:val="320"/>
        </w:trPr>
        <w:tc>
          <w:tcPr>
            <w:tcW w:w="2268" w:type="dxa"/>
          </w:tcPr>
          <w:p w:rsidR="00BC05B4" w:rsidRDefault="00BC05B4" w:rsidP="0080701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Banka </w:t>
            </w:r>
            <w:proofErr w:type="spellStart"/>
            <w:r>
              <w:rPr>
                <w:sz w:val="19"/>
              </w:rPr>
              <w:t>Adı</w:t>
            </w:r>
            <w:proofErr w:type="spellEnd"/>
          </w:p>
        </w:tc>
        <w:tc>
          <w:tcPr>
            <w:tcW w:w="6683" w:type="dxa"/>
          </w:tcPr>
          <w:p w:rsidR="00BC05B4" w:rsidRDefault="00BC05B4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05B4" w:rsidTr="00BC05B4">
        <w:trPr>
          <w:trHeight w:val="320"/>
        </w:trPr>
        <w:tc>
          <w:tcPr>
            <w:tcW w:w="2268" w:type="dxa"/>
          </w:tcPr>
          <w:p w:rsidR="00BC05B4" w:rsidRDefault="00BC05B4" w:rsidP="0080701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Banka </w:t>
            </w:r>
            <w:proofErr w:type="spellStart"/>
            <w:r>
              <w:rPr>
                <w:sz w:val="19"/>
              </w:rPr>
              <w:t>Şubesi</w:t>
            </w:r>
            <w:proofErr w:type="spellEnd"/>
          </w:p>
        </w:tc>
        <w:tc>
          <w:tcPr>
            <w:tcW w:w="6683" w:type="dxa"/>
          </w:tcPr>
          <w:p w:rsidR="00BC05B4" w:rsidRDefault="00BC05B4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05B4" w:rsidTr="00BC05B4">
        <w:trPr>
          <w:trHeight w:val="320"/>
        </w:trPr>
        <w:tc>
          <w:tcPr>
            <w:tcW w:w="2268" w:type="dxa"/>
          </w:tcPr>
          <w:p w:rsidR="00BC05B4" w:rsidRDefault="00BC05B4" w:rsidP="0080701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Hesap</w:t>
            </w:r>
            <w:proofErr w:type="spellEnd"/>
            <w:r>
              <w:rPr>
                <w:sz w:val="19"/>
              </w:rPr>
              <w:t xml:space="preserve"> No</w:t>
            </w:r>
          </w:p>
        </w:tc>
        <w:tc>
          <w:tcPr>
            <w:tcW w:w="6683" w:type="dxa"/>
          </w:tcPr>
          <w:p w:rsidR="00BC05B4" w:rsidRDefault="00BC05B4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05B4" w:rsidTr="00BC05B4">
        <w:trPr>
          <w:trHeight w:val="320"/>
        </w:trPr>
        <w:tc>
          <w:tcPr>
            <w:tcW w:w="2268" w:type="dxa"/>
          </w:tcPr>
          <w:p w:rsidR="00BC05B4" w:rsidRDefault="00BC05B4" w:rsidP="0080701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IBAN No</w:t>
            </w:r>
          </w:p>
        </w:tc>
        <w:tc>
          <w:tcPr>
            <w:tcW w:w="6683" w:type="dxa"/>
          </w:tcPr>
          <w:p w:rsidR="00BC05B4" w:rsidRDefault="00BC05B4" w:rsidP="0080701A">
            <w:pPr>
              <w:pStyle w:val="TableParagraph"/>
              <w:tabs>
                <w:tab w:val="left" w:pos="6718"/>
              </w:tabs>
              <w:rPr>
                <w:rFonts w:ascii="Times New Roman"/>
                <w:sz w:val="19"/>
              </w:rPr>
            </w:pPr>
            <w:r>
              <w:rPr>
                <w:sz w:val="19"/>
              </w:rPr>
              <w:t xml:space="preserve">TR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:rsidR="00EC1A12" w:rsidRDefault="00EC1A12" w:rsidP="00E323AC">
      <w:pPr>
        <w:ind w:firstLine="708"/>
        <w:jc w:val="both"/>
      </w:pPr>
    </w:p>
    <w:tbl>
      <w:tblPr>
        <w:tblStyle w:val="TableNormal"/>
        <w:tblW w:w="8951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83"/>
      </w:tblGrid>
      <w:tr w:rsidR="00EC1A12" w:rsidTr="0080701A">
        <w:trPr>
          <w:trHeight w:val="320"/>
        </w:trPr>
        <w:tc>
          <w:tcPr>
            <w:tcW w:w="2268" w:type="dxa"/>
          </w:tcPr>
          <w:p w:rsidR="00EC1A12" w:rsidRDefault="00EC1A12" w:rsidP="0080701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Üniversite</w:t>
            </w:r>
            <w:proofErr w:type="spellEnd"/>
          </w:p>
        </w:tc>
        <w:tc>
          <w:tcPr>
            <w:tcW w:w="6683" w:type="dxa"/>
          </w:tcPr>
          <w:p w:rsidR="00EC1A12" w:rsidRDefault="00EC1A12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Karamano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>lu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Mehmetbey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niversitesi</w:t>
            </w:r>
            <w:proofErr w:type="spellEnd"/>
          </w:p>
        </w:tc>
      </w:tr>
      <w:tr w:rsidR="00EC1A12" w:rsidTr="0080701A">
        <w:trPr>
          <w:trHeight w:val="320"/>
        </w:trPr>
        <w:tc>
          <w:tcPr>
            <w:tcW w:w="2268" w:type="dxa"/>
          </w:tcPr>
          <w:p w:rsidR="00EC1A12" w:rsidRDefault="00EC1A12" w:rsidP="00EC1A12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Akademik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Birim</w:t>
            </w:r>
            <w:proofErr w:type="spellEnd"/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Fak.YO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6683" w:type="dxa"/>
          </w:tcPr>
          <w:p w:rsidR="00EC1A12" w:rsidRDefault="00EC1A12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C1A12" w:rsidTr="0080701A">
        <w:trPr>
          <w:trHeight w:val="320"/>
        </w:trPr>
        <w:tc>
          <w:tcPr>
            <w:tcW w:w="2268" w:type="dxa"/>
          </w:tcPr>
          <w:p w:rsidR="00EC1A12" w:rsidRDefault="00EC1A12" w:rsidP="0080701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Bölüm</w:t>
            </w:r>
            <w:proofErr w:type="spellEnd"/>
          </w:p>
        </w:tc>
        <w:tc>
          <w:tcPr>
            <w:tcW w:w="6683" w:type="dxa"/>
          </w:tcPr>
          <w:p w:rsidR="00EC1A12" w:rsidRDefault="00EC1A12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C1A12" w:rsidTr="0080701A">
        <w:trPr>
          <w:trHeight w:val="320"/>
        </w:trPr>
        <w:tc>
          <w:tcPr>
            <w:tcW w:w="2268" w:type="dxa"/>
          </w:tcPr>
          <w:p w:rsidR="00EC1A12" w:rsidRDefault="00EC1A12" w:rsidP="0080701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Öğrenci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Numarası</w:t>
            </w:r>
            <w:proofErr w:type="spellEnd"/>
          </w:p>
        </w:tc>
        <w:tc>
          <w:tcPr>
            <w:tcW w:w="6683" w:type="dxa"/>
          </w:tcPr>
          <w:p w:rsidR="00EC1A12" w:rsidRDefault="00EC1A12" w:rsidP="0080701A">
            <w:pPr>
              <w:pStyle w:val="TableParagraph"/>
              <w:tabs>
                <w:tab w:val="left" w:pos="6718"/>
              </w:tabs>
              <w:rPr>
                <w:rFonts w:ascii="Times New Roman"/>
                <w:sz w:val="19"/>
              </w:rPr>
            </w:pPr>
          </w:p>
        </w:tc>
      </w:tr>
    </w:tbl>
    <w:p w:rsidR="009A19FD" w:rsidRDefault="003C2DF1" w:rsidP="0079069A">
      <w:pPr>
        <w:ind w:firstLine="708"/>
        <w:jc w:val="both"/>
      </w:pPr>
      <w:bookmarkStart w:id="0" w:name="_GoBack"/>
      <w:bookmarkEnd w:id="0"/>
      <w:r>
        <w:t>D</w:t>
      </w:r>
      <w:r>
        <w:t>ilekçemde belirtilen bilgilerimin doğruluğunu kabul ederim.</w:t>
      </w:r>
    </w:p>
    <w:p w:rsidR="009A19FD" w:rsidRDefault="009A19FD" w:rsidP="009A19FD">
      <w:r>
        <w:t>Adres:</w:t>
      </w:r>
    </w:p>
    <w:p w:rsidR="009A19FD" w:rsidRDefault="009A19FD" w:rsidP="009A19FD"/>
    <w:p w:rsidR="00E323AC" w:rsidRPr="00E323AC" w:rsidRDefault="009A19FD" w:rsidP="009A19FD">
      <w:r>
        <w:t>Telefon:</w:t>
      </w:r>
      <w:r w:rsidR="00BC05B4">
        <w:t xml:space="preserve"> </w:t>
      </w:r>
      <w:r w:rsidR="00E323AC">
        <w:t xml:space="preserve"> </w:t>
      </w:r>
    </w:p>
    <w:sectPr w:rsidR="00E323AC" w:rsidRPr="00E3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AC"/>
    <w:rsid w:val="001F460E"/>
    <w:rsid w:val="003C2DF1"/>
    <w:rsid w:val="0079069A"/>
    <w:rsid w:val="007A3240"/>
    <w:rsid w:val="009A19FD"/>
    <w:rsid w:val="00BC05B4"/>
    <w:rsid w:val="00E2021C"/>
    <w:rsid w:val="00E323AC"/>
    <w:rsid w:val="00E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E5E1"/>
  <w15:chartTrackingRefBased/>
  <w15:docId w15:val="{C6D7A3FF-2A96-4E3D-AA6B-133A73E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C05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05B4"/>
    <w:rPr>
      <w:rFonts w:ascii="Tahoma" w:eastAsia="Tahoma" w:hAnsi="Tahoma" w:cs="Tahom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BC05B4"/>
    <w:pPr>
      <w:widowControl w:val="0"/>
      <w:autoSpaceDE w:val="0"/>
      <w:autoSpaceDN w:val="0"/>
      <w:spacing w:before="10" w:after="0" w:line="240" w:lineRule="auto"/>
      <w:ind w:left="9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KMU-BİDB-İEA</dc:creator>
  <cp:keywords/>
  <dc:description/>
  <cp:lastModifiedBy>KMU-BİDB-İEA</cp:lastModifiedBy>
  <cp:revision>2</cp:revision>
  <dcterms:created xsi:type="dcterms:W3CDTF">2023-03-08T09:33:00Z</dcterms:created>
  <dcterms:modified xsi:type="dcterms:W3CDTF">2023-03-08T09:33:00Z</dcterms:modified>
</cp:coreProperties>
</file>