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1155"/>
        <w:gridCol w:w="2103"/>
        <w:gridCol w:w="448"/>
        <w:gridCol w:w="1952"/>
        <w:gridCol w:w="1167"/>
        <w:gridCol w:w="1798"/>
      </w:tblGrid>
      <w:tr w:rsidR="008E47FF" w:rsidRPr="00FC30E0" w:rsidTr="007133AE">
        <w:trPr>
          <w:trHeight w:val="375"/>
        </w:trPr>
        <w:tc>
          <w:tcPr>
            <w:tcW w:w="2034" w:type="dxa"/>
            <w:shd w:val="clear" w:color="auto" w:fill="D9D9D9"/>
            <w:vAlign w:val="center"/>
          </w:tcPr>
          <w:p w:rsidR="008E47FF" w:rsidRPr="00FC30E0" w:rsidRDefault="008E47FF">
            <w:pPr>
              <w:pStyle w:val="Balk9"/>
              <w:rPr>
                <w:rFonts w:ascii="Times New Roman" w:hAnsi="Times New Roman" w:cs="Times New Roman"/>
                <w:i w:val="0"/>
                <w:szCs w:val="18"/>
              </w:rPr>
            </w:pPr>
            <w:r w:rsidRPr="00FC30E0">
              <w:rPr>
                <w:rFonts w:ascii="Times New Roman" w:hAnsi="Times New Roman" w:cs="Times New Roman"/>
                <w:i w:val="0"/>
                <w:szCs w:val="18"/>
              </w:rPr>
              <w:t>TOPLANTI YERİ</w:t>
            </w:r>
          </w:p>
        </w:tc>
        <w:tc>
          <w:tcPr>
            <w:tcW w:w="3258" w:type="dxa"/>
            <w:gridSpan w:val="2"/>
            <w:vAlign w:val="center"/>
          </w:tcPr>
          <w:p w:rsidR="008E47FF" w:rsidRPr="00FC30E0" w:rsidRDefault="0010765D" w:rsidP="00D6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KMÜ </w:t>
            </w:r>
            <w:r w:rsidR="00D654AD">
              <w:rPr>
                <w:sz w:val="18"/>
                <w:szCs w:val="18"/>
              </w:rPr>
              <w:t>SENATO TOPLANTI</w:t>
            </w:r>
            <w:r>
              <w:rPr>
                <w:sz w:val="18"/>
                <w:szCs w:val="18"/>
              </w:rPr>
              <w:t xml:space="preserve"> SALONU</w:t>
            </w:r>
          </w:p>
        </w:tc>
        <w:tc>
          <w:tcPr>
            <w:tcW w:w="2400" w:type="dxa"/>
            <w:gridSpan w:val="2"/>
            <w:shd w:val="clear" w:color="auto" w:fill="D9D9D9"/>
            <w:vAlign w:val="center"/>
          </w:tcPr>
          <w:p w:rsidR="008E47FF" w:rsidRPr="00FC30E0" w:rsidRDefault="008E47FF">
            <w:pPr>
              <w:ind w:right="-80"/>
              <w:rPr>
                <w:b/>
                <w:bCs/>
                <w:iCs/>
                <w:sz w:val="18"/>
                <w:szCs w:val="18"/>
              </w:rPr>
            </w:pPr>
            <w:r w:rsidRPr="00FC30E0">
              <w:rPr>
                <w:b/>
                <w:bCs/>
                <w:iCs/>
                <w:sz w:val="18"/>
                <w:szCs w:val="18"/>
              </w:rPr>
              <w:t>TOPLANTI TARİHİ</w:t>
            </w:r>
            <w:r w:rsidR="00EF5E43" w:rsidRPr="00FC30E0">
              <w:rPr>
                <w:b/>
                <w:bCs/>
                <w:iCs/>
                <w:sz w:val="18"/>
                <w:szCs w:val="18"/>
              </w:rPr>
              <w:t>-SAATİ</w:t>
            </w:r>
          </w:p>
        </w:tc>
        <w:tc>
          <w:tcPr>
            <w:tcW w:w="2965" w:type="dxa"/>
            <w:gridSpan w:val="2"/>
            <w:vAlign w:val="center"/>
          </w:tcPr>
          <w:p w:rsidR="008E47FF" w:rsidRPr="00FC30E0" w:rsidRDefault="00E509A1" w:rsidP="00656DE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31</w:t>
            </w:r>
            <w:r w:rsidR="00EF5E43" w:rsidRPr="00FC30E0">
              <w:rPr>
                <w:b/>
                <w:bCs/>
                <w:sz w:val="18"/>
                <w:szCs w:val="18"/>
              </w:rPr>
              <w:t>/</w:t>
            </w:r>
            <w:r w:rsidR="00656DEC">
              <w:rPr>
                <w:b/>
                <w:bCs/>
                <w:sz w:val="18"/>
                <w:szCs w:val="18"/>
              </w:rPr>
              <w:t>10</w:t>
            </w:r>
            <w:r w:rsidR="00EF5E43" w:rsidRPr="00FC30E0">
              <w:rPr>
                <w:b/>
                <w:bCs/>
                <w:sz w:val="18"/>
                <w:szCs w:val="18"/>
              </w:rPr>
              <w:t>/20</w:t>
            </w:r>
            <w:r w:rsidR="001F5A39">
              <w:rPr>
                <w:b/>
                <w:bCs/>
                <w:sz w:val="18"/>
                <w:szCs w:val="18"/>
              </w:rPr>
              <w:t>23</w:t>
            </w:r>
            <w:proofErr w:type="gramEnd"/>
            <w:r w:rsidR="00EF5E43" w:rsidRPr="00FC30E0">
              <w:rPr>
                <w:b/>
                <w:bCs/>
                <w:sz w:val="18"/>
                <w:szCs w:val="18"/>
              </w:rPr>
              <w:t xml:space="preserve"> - ___:___</w:t>
            </w:r>
          </w:p>
        </w:tc>
      </w:tr>
      <w:tr w:rsidR="008E47FF" w:rsidRPr="00FC30E0" w:rsidTr="00BC4B30">
        <w:trPr>
          <w:cantSplit/>
          <w:trHeight w:val="364"/>
        </w:trPr>
        <w:tc>
          <w:tcPr>
            <w:tcW w:w="10657" w:type="dxa"/>
            <w:gridSpan w:val="7"/>
            <w:shd w:val="clear" w:color="auto" w:fill="D9D9D9"/>
            <w:vAlign w:val="center"/>
          </w:tcPr>
          <w:p w:rsidR="008E47FF" w:rsidRPr="00FC30E0" w:rsidRDefault="00EF5E43">
            <w:pPr>
              <w:ind w:right="180"/>
              <w:jc w:val="center"/>
              <w:rPr>
                <w:b/>
                <w:bCs/>
                <w:sz w:val="18"/>
                <w:szCs w:val="18"/>
              </w:rPr>
            </w:pPr>
            <w:r w:rsidRPr="00FC30E0">
              <w:rPr>
                <w:b/>
                <w:bCs/>
                <w:sz w:val="18"/>
                <w:szCs w:val="18"/>
              </w:rPr>
              <w:t>TOPLANTININ GÜNDEM MADDELERİ</w:t>
            </w:r>
          </w:p>
        </w:tc>
      </w:tr>
      <w:tr w:rsidR="00EF5E43" w:rsidRPr="00FC30E0" w:rsidTr="00BA34C8">
        <w:trPr>
          <w:cantSplit/>
          <w:trHeight w:val="1688"/>
        </w:trPr>
        <w:tc>
          <w:tcPr>
            <w:tcW w:w="10657" w:type="dxa"/>
            <w:gridSpan w:val="7"/>
            <w:shd w:val="clear" w:color="auto" w:fill="FFFFFF"/>
            <w:vAlign w:val="center"/>
          </w:tcPr>
          <w:p w:rsidR="00BA34C8" w:rsidRPr="007133AE" w:rsidRDefault="00656DEC" w:rsidP="007133AE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18-20 Ekim 2023 tarihlerinde gerçekleştirilen </w:t>
            </w:r>
            <w:r w:rsidR="00BA34C8" w:rsidRPr="007133AE">
              <w:rPr>
                <w:sz w:val="22"/>
                <w:szCs w:val="22"/>
              </w:rPr>
              <w:t xml:space="preserve">Kalite Güvencesi ve Akreditasyon </w:t>
            </w:r>
            <w:proofErr w:type="spellStart"/>
            <w:r w:rsidR="00BA34C8" w:rsidRPr="007133AE">
              <w:rPr>
                <w:sz w:val="22"/>
                <w:szCs w:val="22"/>
              </w:rPr>
              <w:t>Çalıştayı</w:t>
            </w:r>
            <w:proofErr w:type="spellEnd"/>
            <w:r w:rsidR="00BA34C8" w:rsidRPr="007133AE">
              <w:rPr>
                <w:sz w:val="22"/>
                <w:szCs w:val="22"/>
              </w:rPr>
              <w:t xml:space="preserve"> kararları ve genel değerlendirme</w:t>
            </w:r>
          </w:p>
          <w:p w:rsidR="00BA34C8" w:rsidRPr="007133AE" w:rsidRDefault="00BA34C8" w:rsidP="007133AE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Kalite Güvencesi ve Akreditasyon </w:t>
            </w:r>
            <w:proofErr w:type="spellStart"/>
            <w:r w:rsidRPr="007133AE">
              <w:rPr>
                <w:sz w:val="22"/>
                <w:szCs w:val="22"/>
              </w:rPr>
              <w:t>Çalıştayı’nda</w:t>
            </w:r>
            <w:proofErr w:type="spellEnd"/>
            <w:r w:rsidRPr="007133AE">
              <w:rPr>
                <w:sz w:val="22"/>
                <w:szCs w:val="22"/>
              </w:rPr>
              <w:t xml:space="preserve"> tartışılan ilave konuların değerlendirilmesi</w:t>
            </w:r>
          </w:p>
          <w:p w:rsidR="007133AE" w:rsidRPr="007133AE" w:rsidRDefault="007133AE" w:rsidP="007133AE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b/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Üniversitedeki kalite güvencesi ve akreditasyon çalışmalarının durumu</w:t>
            </w:r>
          </w:p>
          <w:p w:rsidR="009229A6" w:rsidRPr="0010765D" w:rsidRDefault="009229A6" w:rsidP="007133AE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b/>
              </w:rPr>
            </w:pPr>
            <w:r w:rsidRPr="007133AE">
              <w:rPr>
                <w:sz w:val="22"/>
                <w:szCs w:val="22"/>
              </w:rPr>
              <w:t xml:space="preserve">Geleceğe </w:t>
            </w:r>
            <w:r w:rsidR="00BA34C8" w:rsidRPr="007133AE">
              <w:rPr>
                <w:sz w:val="22"/>
                <w:szCs w:val="22"/>
              </w:rPr>
              <w:t>yönelik hedef, beklenti ve politikalara ilişkin değerlendirmeler</w:t>
            </w:r>
          </w:p>
        </w:tc>
      </w:tr>
      <w:tr w:rsidR="00EF5E43" w:rsidRPr="00FC30E0" w:rsidTr="00BC4B30">
        <w:trPr>
          <w:cantSplit/>
          <w:trHeight w:val="405"/>
        </w:trPr>
        <w:tc>
          <w:tcPr>
            <w:tcW w:w="10657" w:type="dxa"/>
            <w:gridSpan w:val="7"/>
            <w:shd w:val="clear" w:color="auto" w:fill="D9D9D9"/>
            <w:vAlign w:val="center"/>
          </w:tcPr>
          <w:p w:rsidR="00EF5E43" w:rsidRPr="00FC30E0" w:rsidRDefault="00EF5E43">
            <w:pPr>
              <w:ind w:right="180"/>
              <w:jc w:val="center"/>
              <w:rPr>
                <w:b/>
                <w:bCs/>
                <w:sz w:val="18"/>
                <w:szCs w:val="18"/>
              </w:rPr>
            </w:pPr>
            <w:r w:rsidRPr="00FC30E0">
              <w:rPr>
                <w:b/>
                <w:bCs/>
                <w:sz w:val="18"/>
                <w:szCs w:val="18"/>
              </w:rPr>
              <w:t>K A T I L A N L A R</w:t>
            </w:r>
          </w:p>
        </w:tc>
      </w:tr>
      <w:tr w:rsidR="00EF5E43" w:rsidRPr="00FC30E0" w:rsidTr="007133AE">
        <w:trPr>
          <w:trHeight w:val="390"/>
        </w:trPr>
        <w:tc>
          <w:tcPr>
            <w:tcW w:w="3189" w:type="dxa"/>
            <w:gridSpan w:val="2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7133AE"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7133AE">
              <w:rPr>
                <w:b/>
                <w:bCs/>
                <w:sz w:val="22"/>
                <w:szCs w:val="22"/>
              </w:rPr>
              <w:t>ÜNVANI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7133AE">
              <w:rPr>
                <w:b/>
                <w:bCs/>
                <w:sz w:val="22"/>
                <w:szCs w:val="22"/>
              </w:rPr>
              <w:t>GÖREVİ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7133AE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EF5E43" w:rsidRPr="00FC30E0" w:rsidTr="007133AE">
        <w:trPr>
          <w:trHeight w:val="589"/>
        </w:trPr>
        <w:tc>
          <w:tcPr>
            <w:tcW w:w="3189" w:type="dxa"/>
            <w:gridSpan w:val="2"/>
            <w:vAlign w:val="center"/>
          </w:tcPr>
          <w:p w:rsidR="00EF5E43" w:rsidRPr="007133AE" w:rsidRDefault="008B4624" w:rsidP="008B4624">
            <w:pPr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Prof. Dr. Mehmet GAVGALI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10765D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Rektör 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10765D" w:rsidP="008B4624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Kalite </w:t>
            </w:r>
            <w:r w:rsidR="008B4624" w:rsidRPr="007133AE">
              <w:rPr>
                <w:sz w:val="22"/>
                <w:szCs w:val="22"/>
              </w:rPr>
              <w:t>Komisyonu Başkanı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EF5E43" w:rsidRPr="00FC30E0" w:rsidTr="007133AE">
        <w:trPr>
          <w:trHeight w:val="538"/>
        </w:trPr>
        <w:tc>
          <w:tcPr>
            <w:tcW w:w="3189" w:type="dxa"/>
            <w:gridSpan w:val="2"/>
            <w:vAlign w:val="center"/>
          </w:tcPr>
          <w:p w:rsidR="00EF5E43" w:rsidRPr="007133AE" w:rsidRDefault="008B4624" w:rsidP="00656DEC">
            <w:pPr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Prof. Dr. </w:t>
            </w:r>
            <w:r w:rsidR="00656DEC" w:rsidRPr="007133AE">
              <w:rPr>
                <w:sz w:val="22"/>
                <w:szCs w:val="22"/>
              </w:rPr>
              <w:t>Nevzat AYDIN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10765D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Rektör Yardımcısı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8B4624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Kalite Komisyonu Başkan Yardımcısı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EF5E43" w:rsidRPr="00FC30E0" w:rsidTr="007133AE">
        <w:trPr>
          <w:trHeight w:val="532"/>
        </w:trPr>
        <w:tc>
          <w:tcPr>
            <w:tcW w:w="3189" w:type="dxa"/>
            <w:gridSpan w:val="2"/>
            <w:vAlign w:val="center"/>
          </w:tcPr>
          <w:p w:rsidR="00EF5E43" w:rsidRPr="007133AE" w:rsidRDefault="0010765D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Ahmet TÜFEKCİ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10765D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Genel Sekreter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8B4624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Kalite Komisyonu Üyesi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EF5E43" w:rsidRPr="00FC30E0" w:rsidTr="007133AE">
        <w:trPr>
          <w:trHeight w:val="540"/>
        </w:trPr>
        <w:tc>
          <w:tcPr>
            <w:tcW w:w="3189" w:type="dxa"/>
            <w:gridSpan w:val="2"/>
            <w:vAlign w:val="center"/>
          </w:tcPr>
          <w:p w:rsidR="00EF5E43" w:rsidRPr="007133AE" w:rsidRDefault="008B4624" w:rsidP="008B4624">
            <w:pPr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Doç. Dr. Oğuzhan AYTAR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8B4624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Koordinatör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7133AE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Kalite Komisyonu Üyesi</w:t>
            </w:r>
            <w:r>
              <w:rPr>
                <w:sz w:val="22"/>
                <w:szCs w:val="22"/>
              </w:rPr>
              <w:t xml:space="preserve"> / </w:t>
            </w:r>
            <w:r w:rsidRPr="007133AE">
              <w:rPr>
                <w:sz w:val="22"/>
                <w:szCs w:val="22"/>
              </w:rPr>
              <w:t>Koordinatör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8B4624" w:rsidRPr="00FC30E0" w:rsidTr="007133AE">
        <w:trPr>
          <w:trHeight w:val="540"/>
        </w:trPr>
        <w:tc>
          <w:tcPr>
            <w:tcW w:w="3189" w:type="dxa"/>
            <w:gridSpan w:val="2"/>
            <w:vAlign w:val="center"/>
          </w:tcPr>
          <w:p w:rsidR="008B4624" w:rsidRPr="007133AE" w:rsidRDefault="008B4624" w:rsidP="008B4624">
            <w:pPr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Doç. Dr. Namık Kemal ERDEMİR</w:t>
            </w:r>
          </w:p>
        </w:tc>
        <w:tc>
          <w:tcPr>
            <w:tcW w:w="2551" w:type="dxa"/>
            <w:gridSpan w:val="2"/>
            <w:vAlign w:val="center"/>
          </w:tcPr>
          <w:p w:rsidR="008B4624" w:rsidRPr="007133AE" w:rsidRDefault="008B4624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Koordinatör Yardımcısı</w:t>
            </w:r>
          </w:p>
        </w:tc>
        <w:tc>
          <w:tcPr>
            <w:tcW w:w="3119" w:type="dxa"/>
            <w:gridSpan w:val="2"/>
            <w:vAlign w:val="center"/>
          </w:tcPr>
          <w:p w:rsidR="008B4624" w:rsidRPr="007133AE" w:rsidRDefault="007133AE" w:rsidP="007133AE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Kalite Komisyonu Üyesi</w:t>
            </w:r>
            <w:r>
              <w:rPr>
                <w:sz w:val="22"/>
                <w:szCs w:val="22"/>
              </w:rPr>
              <w:t xml:space="preserve"> / </w:t>
            </w:r>
            <w:r w:rsidRPr="007133AE">
              <w:rPr>
                <w:sz w:val="22"/>
                <w:szCs w:val="22"/>
              </w:rPr>
              <w:t>Koordinatör</w:t>
            </w:r>
            <w:r>
              <w:rPr>
                <w:sz w:val="22"/>
                <w:szCs w:val="22"/>
              </w:rPr>
              <w:t xml:space="preserve"> Yardımcısı</w:t>
            </w:r>
          </w:p>
        </w:tc>
        <w:tc>
          <w:tcPr>
            <w:tcW w:w="1798" w:type="dxa"/>
            <w:vAlign w:val="center"/>
          </w:tcPr>
          <w:p w:rsidR="008B4624" w:rsidRPr="007133AE" w:rsidRDefault="008B4624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EF5E43" w:rsidRPr="00FC30E0" w:rsidTr="007133AE">
        <w:trPr>
          <w:trHeight w:val="534"/>
        </w:trPr>
        <w:tc>
          <w:tcPr>
            <w:tcW w:w="3189" w:type="dxa"/>
            <w:gridSpan w:val="2"/>
            <w:vAlign w:val="center"/>
          </w:tcPr>
          <w:p w:rsidR="00EF5E43" w:rsidRPr="007133AE" w:rsidRDefault="008B4624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Öğr. Gör. Aliye KIRAY</w:t>
            </w:r>
          </w:p>
        </w:tc>
        <w:tc>
          <w:tcPr>
            <w:tcW w:w="2551" w:type="dxa"/>
            <w:gridSpan w:val="2"/>
            <w:vAlign w:val="center"/>
          </w:tcPr>
          <w:p w:rsidR="00EF5E43" w:rsidRPr="007133AE" w:rsidRDefault="002971B1">
            <w:pPr>
              <w:ind w:right="180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>Üye</w:t>
            </w:r>
          </w:p>
        </w:tc>
        <w:tc>
          <w:tcPr>
            <w:tcW w:w="3119" w:type="dxa"/>
            <w:gridSpan w:val="2"/>
            <w:vAlign w:val="center"/>
          </w:tcPr>
          <w:p w:rsidR="00EF5E43" w:rsidRPr="007133AE" w:rsidRDefault="00BA34C8">
            <w:pPr>
              <w:ind w:right="180"/>
              <w:jc w:val="center"/>
              <w:rPr>
                <w:sz w:val="22"/>
                <w:szCs w:val="22"/>
              </w:rPr>
            </w:pPr>
            <w:r w:rsidRPr="007133AE">
              <w:rPr>
                <w:sz w:val="22"/>
                <w:szCs w:val="22"/>
              </w:rPr>
              <w:t xml:space="preserve">Kalite Komisyonu Üyesi </w:t>
            </w:r>
            <w:r w:rsidR="007133AE">
              <w:rPr>
                <w:sz w:val="22"/>
                <w:szCs w:val="22"/>
              </w:rPr>
              <w:t xml:space="preserve">/ </w:t>
            </w:r>
            <w:r w:rsidR="002971B1" w:rsidRPr="007133AE">
              <w:rPr>
                <w:sz w:val="22"/>
                <w:szCs w:val="22"/>
              </w:rPr>
              <w:t>Raportör</w:t>
            </w:r>
          </w:p>
        </w:tc>
        <w:tc>
          <w:tcPr>
            <w:tcW w:w="1798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:rsidR="008E47FF" w:rsidRDefault="008E47FF" w:rsidP="00E73436">
      <w:pPr>
        <w:ind w:right="180"/>
        <w:jc w:val="both"/>
        <w:rPr>
          <w:b/>
          <w:sz w:val="18"/>
          <w:szCs w:val="18"/>
        </w:rPr>
      </w:pPr>
    </w:p>
    <w:tbl>
      <w:tblPr>
        <w:tblW w:w="1074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5"/>
        <w:gridCol w:w="3119"/>
        <w:gridCol w:w="1830"/>
      </w:tblGrid>
      <w:tr w:rsidR="00EF5E43" w:rsidRPr="00FC30E0" w:rsidTr="00D654AD">
        <w:trPr>
          <w:trHeight w:val="441"/>
        </w:trPr>
        <w:tc>
          <w:tcPr>
            <w:tcW w:w="10744" w:type="dxa"/>
            <w:gridSpan w:val="3"/>
            <w:shd w:val="clear" w:color="auto" w:fill="BFBFBF"/>
            <w:vAlign w:val="center"/>
          </w:tcPr>
          <w:p w:rsidR="00EF5E43" w:rsidRPr="00FC30E0" w:rsidRDefault="00205D4E" w:rsidP="00205D4E">
            <w:pPr>
              <w:ind w:right="180"/>
              <w:jc w:val="center"/>
              <w:rPr>
                <w:b/>
                <w:sz w:val="18"/>
                <w:szCs w:val="18"/>
              </w:rPr>
            </w:pPr>
            <w:r w:rsidRPr="00FC30E0">
              <w:rPr>
                <w:b/>
                <w:sz w:val="18"/>
                <w:szCs w:val="18"/>
              </w:rPr>
              <w:t>ALINAN KARARLAR</w:t>
            </w:r>
          </w:p>
        </w:tc>
      </w:tr>
      <w:tr w:rsidR="00205D4E" w:rsidRPr="00FC30E0" w:rsidTr="007133AE">
        <w:trPr>
          <w:trHeight w:val="592"/>
        </w:trPr>
        <w:tc>
          <w:tcPr>
            <w:tcW w:w="5795" w:type="dxa"/>
            <w:vAlign w:val="center"/>
          </w:tcPr>
          <w:p w:rsidR="00205D4E" w:rsidRPr="007133AE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7133AE">
              <w:rPr>
                <w:b/>
                <w:sz w:val="21"/>
                <w:szCs w:val="21"/>
              </w:rPr>
              <w:t>KARARLAR</w:t>
            </w:r>
          </w:p>
        </w:tc>
        <w:tc>
          <w:tcPr>
            <w:tcW w:w="3119" w:type="dxa"/>
            <w:vAlign w:val="center"/>
          </w:tcPr>
          <w:p w:rsidR="00205D4E" w:rsidRPr="007133AE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7133AE">
              <w:rPr>
                <w:b/>
                <w:sz w:val="21"/>
                <w:szCs w:val="21"/>
              </w:rPr>
              <w:t>SORUMLULAR</w:t>
            </w:r>
          </w:p>
        </w:tc>
        <w:tc>
          <w:tcPr>
            <w:tcW w:w="1830" w:type="dxa"/>
            <w:vAlign w:val="center"/>
          </w:tcPr>
          <w:p w:rsidR="00205D4E" w:rsidRPr="007133AE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7133AE">
              <w:rPr>
                <w:b/>
                <w:sz w:val="21"/>
                <w:szCs w:val="21"/>
              </w:rPr>
              <w:t>PLANLANAN TARİH</w:t>
            </w:r>
          </w:p>
        </w:tc>
      </w:tr>
      <w:tr w:rsidR="008352EB" w:rsidRPr="00FC30E0" w:rsidTr="007133AE">
        <w:trPr>
          <w:trHeight w:val="1647"/>
        </w:trPr>
        <w:tc>
          <w:tcPr>
            <w:tcW w:w="5795" w:type="dxa"/>
            <w:vAlign w:val="center"/>
          </w:tcPr>
          <w:p w:rsidR="008352EB" w:rsidRPr="007133AE" w:rsidRDefault="009229A6" w:rsidP="00BC4B30">
            <w:pPr>
              <w:ind w:right="180"/>
              <w:jc w:val="both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1</w:t>
            </w:r>
            <w:r w:rsidR="00BA34C8" w:rsidRPr="007133AE">
              <w:rPr>
                <w:sz w:val="21"/>
                <w:szCs w:val="21"/>
              </w:rPr>
              <w:t xml:space="preserve">) Kalite Güvencesi ve Akreditasyon </w:t>
            </w:r>
            <w:proofErr w:type="spellStart"/>
            <w:r w:rsidR="00BA34C8" w:rsidRPr="007133AE">
              <w:rPr>
                <w:sz w:val="21"/>
                <w:szCs w:val="21"/>
              </w:rPr>
              <w:t>Çalıştayı’nda</w:t>
            </w:r>
            <w:proofErr w:type="spellEnd"/>
            <w:r w:rsidR="00BA34C8" w:rsidRPr="007133AE">
              <w:rPr>
                <w:sz w:val="21"/>
                <w:szCs w:val="21"/>
              </w:rPr>
              <w:t xml:space="preserve"> son şekli verilen Kurumsal Politikalar’ın (Kalite Güvencesi Politikası, Yönetişim Politikası, Eğitim Öğretim Politikası, Araştırma Geliştirme ve Yenilikçilik Politikası, Toplumsal Katkı Politikası, Uluslararasılaşma Politikası) Kalite Komisyon’unda değerlendirilerek onay sürecinin başlatılması</w:t>
            </w:r>
            <w:r w:rsidRPr="007133AE">
              <w:rPr>
                <w:sz w:val="21"/>
                <w:szCs w:val="21"/>
              </w:rPr>
              <w:t xml:space="preserve"> kararlaştırılmıştır.</w:t>
            </w:r>
          </w:p>
        </w:tc>
        <w:tc>
          <w:tcPr>
            <w:tcW w:w="3119" w:type="dxa"/>
            <w:vAlign w:val="center"/>
          </w:tcPr>
          <w:p w:rsidR="008352EB" w:rsidRPr="007133AE" w:rsidRDefault="008352EB" w:rsidP="00FC30E0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1830" w:type="dxa"/>
            <w:vAlign w:val="center"/>
          </w:tcPr>
          <w:p w:rsidR="008352EB" w:rsidRPr="007133AE" w:rsidRDefault="00BA34C8" w:rsidP="00BA34C8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 xml:space="preserve">Kasım </w:t>
            </w:r>
            <w:r w:rsidR="008352EB" w:rsidRPr="007133AE">
              <w:rPr>
                <w:sz w:val="21"/>
                <w:szCs w:val="21"/>
              </w:rPr>
              <w:t>2023</w:t>
            </w:r>
          </w:p>
        </w:tc>
      </w:tr>
      <w:tr w:rsidR="008352EB" w:rsidRPr="00FC30E0" w:rsidTr="007133AE">
        <w:trPr>
          <w:trHeight w:val="1292"/>
        </w:trPr>
        <w:tc>
          <w:tcPr>
            <w:tcW w:w="5795" w:type="dxa"/>
            <w:vAlign w:val="center"/>
          </w:tcPr>
          <w:p w:rsidR="008352EB" w:rsidRPr="007133AE" w:rsidRDefault="00BA34C8" w:rsidP="00BA34C8">
            <w:pPr>
              <w:ind w:right="180"/>
              <w:jc w:val="both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 xml:space="preserve">2) Kalite Güvencesi ve Akreditasyon </w:t>
            </w:r>
            <w:proofErr w:type="spellStart"/>
            <w:r w:rsidRPr="007133AE">
              <w:rPr>
                <w:sz w:val="21"/>
                <w:szCs w:val="21"/>
              </w:rPr>
              <w:t>Çalıştayı’nda</w:t>
            </w:r>
            <w:proofErr w:type="spellEnd"/>
            <w:r w:rsidRPr="007133AE">
              <w:rPr>
                <w:sz w:val="21"/>
                <w:szCs w:val="21"/>
              </w:rPr>
              <w:t xml:space="preserve"> son şekli verilen Kalite ve Akreditasyon Çalışmaları Eylem Planı Taslağı’nın Kalite Komisyon’una sevk edilerek Eylem Planı’na yönelik onay sürecinin başlatılması kararlaştırılmıştır.</w:t>
            </w:r>
          </w:p>
        </w:tc>
        <w:tc>
          <w:tcPr>
            <w:tcW w:w="3119" w:type="dxa"/>
            <w:vAlign w:val="center"/>
          </w:tcPr>
          <w:p w:rsidR="008352EB" w:rsidRPr="007133AE" w:rsidRDefault="00515F80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1830" w:type="dxa"/>
            <w:vAlign w:val="center"/>
          </w:tcPr>
          <w:p w:rsidR="00124942" w:rsidRPr="007133AE" w:rsidRDefault="00BA34C8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Kasım 2023</w:t>
            </w:r>
          </w:p>
        </w:tc>
      </w:tr>
      <w:tr w:rsidR="00124942" w:rsidRPr="00FC30E0" w:rsidTr="007133AE">
        <w:trPr>
          <w:trHeight w:val="1137"/>
        </w:trPr>
        <w:tc>
          <w:tcPr>
            <w:tcW w:w="5795" w:type="dxa"/>
            <w:vAlign w:val="center"/>
          </w:tcPr>
          <w:p w:rsidR="00124942" w:rsidRPr="007133AE" w:rsidRDefault="007133AE" w:rsidP="00395E12">
            <w:pPr>
              <w:ind w:right="180"/>
              <w:jc w:val="both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 xml:space="preserve">3) </w:t>
            </w:r>
            <w:r w:rsidR="00BA34C8" w:rsidRPr="007133AE">
              <w:rPr>
                <w:sz w:val="21"/>
                <w:szCs w:val="21"/>
              </w:rPr>
              <w:t xml:space="preserve">Kalite Güvencesi ve Akreditasyon </w:t>
            </w:r>
            <w:proofErr w:type="spellStart"/>
            <w:r w:rsidR="00BA34C8" w:rsidRPr="007133AE">
              <w:rPr>
                <w:sz w:val="21"/>
                <w:szCs w:val="21"/>
              </w:rPr>
              <w:t>Çalıştayı’nda</w:t>
            </w:r>
            <w:proofErr w:type="spellEnd"/>
            <w:r w:rsidR="00BA34C8" w:rsidRPr="007133AE">
              <w:rPr>
                <w:sz w:val="21"/>
                <w:szCs w:val="21"/>
              </w:rPr>
              <w:t xml:space="preserve"> tartışılan ilave konulara yönelik değerlendirmelerin yapılarak gerekli adımların atılması kararlaştırılmıştır.</w:t>
            </w:r>
          </w:p>
        </w:tc>
        <w:tc>
          <w:tcPr>
            <w:tcW w:w="3119" w:type="dxa"/>
            <w:vAlign w:val="center"/>
          </w:tcPr>
          <w:p w:rsidR="007133AE" w:rsidRPr="007133AE" w:rsidRDefault="00BA34C8" w:rsidP="00BA34C8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 xml:space="preserve">1. </w:t>
            </w:r>
            <w:r w:rsidR="007133AE" w:rsidRPr="007133AE">
              <w:rPr>
                <w:sz w:val="21"/>
                <w:szCs w:val="21"/>
              </w:rPr>
              <w:t>Üst Yönetim</w:t>
            </w:r>
          </w:p>
          <w:p w:rsidR="00BA34C8" w:rsidRPr="007133AE" w:rsidRDefault="007133AE" w:rsidP="00BA34C8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 xml:space="preserve">2. </w:t>
            </w:r>
            <w:r w:rsidR="00BA34C8" w:rsidRPr="007133AE">
              <w:rPr>
                <w:sz w:val="21"/>
                <w:szCs w:val="21"/>
              </w:rPr>
              <w:t>Kalite Komisyonu</w:t>
            </w:r>
          </w:p>
          <w:p w:rsidR="007133AE" w:rsidRPr="007133AE" w:rsidRDefault="007133AE" w:rsidP="00BA34C8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3. Kalite Alt Komisyonları</w:t>
            </w:r>
          </w:p>
          <w:p w:rsidR="00124942" w:rsidRPr="007133AE" w:rsidRDefault="007133AE" w:rsidP="007133AE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4. Kalite Güvencesi ve Akreditasyon Koordinatörlüğü</w:t>
            </w:r>
          </w:p>
        </w:tc>
        <w:tc>
          <w:tcPr>
            <w:tcW w:w="1830" w:type="dxa"/>
            <w:vAlign w:val="center"/>
          </w:tcPr>
          <w:p w:rsidR="00124942" w:rsidRPr="007133AE" w:rsidRDefault="007133AE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2023-2024 Eğitim-Öğretim Yılı</w:t>
            </w:r>
          </w:p>
        </w:tc>
      </w:tr>
      <w:tr w:rsidR="00515F80" w:rsidRPr="00FC30E0" w:rsidTr="007133AE">
        <w:trPr>
          <w:trHeight w:val="968"/>
        </w:trPr>
        <w:tc>
          <w:tcPr>
            <w:tcW w:w="5795" w:type="dxa"/>
            <w:vAlign w:val="center"/>
          </w:tcPr>
          <w:p w:rsidR="00515F80" w:rsidRPr="007133AE" w:rsidRDefault="007133AE" w:rsidP="007133AE">
            <w:pPr>
              <w:ind w:right="180"/>
              <w:jc w:val="both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4) Üniversitemizde yürütülen kalite güvencesi ve akreditasyon çalışmalarına istikrarlı bir şekilde devam edilmesine karar verilmiştir.</w:t>
            </w:r>
          </w:p>
        </w:tc>
        <w:tc>
          <w:tcPr>
            <w:tcW w:w="3119" w:type="dxa"/>
            <w:vAlign w:val="center"/>
          </w:tcPr>
          <w:p w:rsidR="00515F80" w:rsidRPr="007133AE" w:rsidRDefault="007133AE" w:rsidP="005D1B92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1830" w:type="dxa"/>
            <w:vAlign w:val="center"/>
          </w:tcPr>
          <w:p w:rsidR="00515F80" w:rsidRPr="007133AE" w:rsidRDefault="007133AE" w:rsidP="005D1B92">
            <w:pPr>
              <w:ind w:right="180"/>
              <w:jc w:val="center"/>
              <w:rPr>
                <w:sz w:val="21"/>
                <w:szCs w:val="21"/>
              </w:rPr>
            </w:pPr>
            <w:r w:rsidRPr="007133AE">
              <w:rPr>
                <w:sz w:val="21"/>
                <w:szCs w:val="21"/>
              </w:rPr>
              <w:t>2023-2024 Eğitim-Öğretim Yılı</w:t>
            </w:r>
          </w:p>
        </w:tc>
      </w:tr>
    </w:tbl>
    <w:p w:rsidR="006F09C1" w:rsidRPr="00FC30E0" w:rsidRDefault="006F09C1" w:rsidP="00F60271">
      <w:pPr>
        <w:rPr>
          <w:sz w:val="16"/>
          <w:szCs w:val="16"/>
        </w:rPr>
      </w:pPr>
    </w:p>
    <w:sectPr w:rsidR="006F09C1" w:rsidRPr="00FC30E0" w:rsidSect="007133AE">
      <w:headerReference w:type="default" r:id="rId7"/>
      <w:footerReference w:type="default" r:id="rId8"/>
      <w:pgSz w:w="11906" w:h="16838" w:code="9"/>
      <w:pgMar w:top="1701" w:right="851" w:bottom="568" w:left="851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AB" w:rsidRDefault="008576AB">
      <w:r>
        <w:separator/>
      </w:r>
    </w:p>
  </w:endnote>
  <w:endnote w:type="continuationSeparator" w:id="0">
    <w:p w:rsidR="008576AB" w:rsidRDefault="008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9"/>
      <w:gridCol w:w="3538"/>
      <w:gridCol w:w="3660"/>
    </w:tblGrid>
    <w:tr w:rsidR="0010765D" w:rsidRPr="00330F64" w:rsidTr="00600E43">
      <w:trPr>
        <w:trHeight w:val="803"/>
      </w:trPr>
      <w:tc>
        <w:tcPr>
          <w:tcW w:w="3589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Hazırlayan</w:t>
          </w:r>
        </w:p>
      </w:tc>
      <w:tc>
        <w:tcPr>
          <w:tcW w:w="3538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</w:p>
      </w:tc>
      <w:tc>
        <w:tcPr>
          <w:tcW w:w="3660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Kalite Sistem Onayı</w:t>
          </w:r>
        </w:p>
      </w:tc>
    </w:tr>
  </w:tbl>
  <w:p w:rsidR="0010765D" w:rsidRDefault="0010765D" w:rsidP="007133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AB" w:rsidRDefault="008576AB">
      <w:r>
        <w:separator/>
      </w:r>
    </w:p>
  </w:footnote>
  <w:footnote w:type="continuationSeparator" w:id="0">
    <w:p w:rsidR="008576AB" w:rsidRDefault="0085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61"/>
      <w:gridCol w:w="6255"/>
      <w:gridCol w:w="1951"/>
      <w:gridCol w:w="1207"/>
    </w:tblGrid>
    <w:tr w:rsidR="0010765D" w:rsidRPr="00151E02" w:rsidTr="0095407B">
      <w:trPr>
        <w:trHeight w:val="279"/>
      </w:trPr>
      <w:tc>
        <w:tcPr>
          <w:tcW w:w="1361" w:type="dxa"/>
          <w:vMerge w:val="restart"/>
          <w:vAlign w:val="center"/>
        </w:tcPr>
        <w:p w:rsidR="0010765D" w:rsidRPr="00FD0360" w:rsidRDefault="00656DEC" w:rsidP="00352E9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137795</wp:posOffset>
                </wp:positionV>
                <wp:extent cx="720090" cy="565150"/>
                <wp:effectExtent l="19050" t="0" r="3810" b="0"/>
                <wp:wrapNone/>
                <wp:docPr id="1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:rsidR="0010765D" w:rsidRPr="00D72B89" w:rsidRDefault="0010765D" w:rsidP="00600E43">
          <w:pPr>
            <w:pStyle w:val="stbilgi"/>
            <w:jc w:val="center"/>
            <w:rPr>
              <w:b/>
            </w:rPr>
          </w:pPr>
          <w:r>
            <w:rPr>
              <w:b/>
              <w:bCs/>
              <w:color w:val="000000"/>
            </w:rPr>
            <w:t xml:space="preserve">YÖNETİM GÖZDEN GEÇİRME TOPLANTI TUTANAK </w:t>
          </w:r>
          <w:r w:rsidRPr="00D72B89">
            <w:rPr>
              <w:b/>
              <w:bCs/>
              <w:color w:val="000000"/>
            </w:rPr>
            <w:t>FORMU</w:t>
          </w: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Doküman No</w:t>
          </w:r>
        </w:p>
      </w:tc>
      <w:tc>
        <w:tcPr>
          <w:tcW w:w="1207" w:type="dxa"/>
          <w:vAlign w:val="center"/>
        </w:tcPr>
        <w:p w:rsidR="0010765D" w:rsidRPr="0095407B" w:rsidRDefault="0010765D" w:rsidP="000B31A1">
          <w:pPr>
            <w:pStyle w:val="stbilgi"/>
            <w:rPr>
              <w:sz w:val="18"/>
            </w:rPr>
          </w:pPr>
          <w:r>
            <w:rPr>
              <w:sz w:val="18"/>
            </w:rPr>
            <w:t>FR-166</w:t>
          </w:r>
        </w:p>
      </w:tc>
    </w:tr>
    <w:tr w:rsidR="0010765D" w:rsidRPr="00151E02" w:rsidTr="0095407B">
      <w:trPr>
        <w:trHeight w:val="279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İlk Yayın Tarihi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05.02.2018</w:t>
          </w:r>
        </w:p>
      </w:tc>
    </w:tr>
    <w:tr w:rsidR="0010765D" w:rsidRPr="00151E02" w:rsidTr="0095407B">
      <w:trPr>
        <w:trHeight w:val="251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Tarihi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</w:p>
      </w:tc>
    </w:tr>
    <w:tr w:rsidR="0010765D" w:rsidRPr="00151E02" w:rsidTr="0095407B">
      <w:trPr>
        <w:trHeight w:val="279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No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00</w:t>
          </w:r>
        </w:p>
      </w:tc>
    </w:tr>
    <w:tr w:rsidR="003413CC" w:rsidRPr="00151E02" w:rsidTr="0095407B">
      <w:trPr>
        <w:trHeight w:val="69"/>
      </w:trPr>
      <w:tc>
        <w:tcPr>
          <w:tcW w:w="1361" w:type="dxa"/>
          <w:vMerge/>
          <w:vAlign w:val="center"/>
        </w:tcPr>
        <w:p w:rsidR="003413CC" w:rsidRPr="00FD0360" w:rsidRDefault="003413CC" w:rsidP="003413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3413CC" w:rsidRPr="00373438" w:rsidRDefault="003413CC" w:rsidP="003413CC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3413CC" w:rsidRPr="00330F64" w:rsidRDefault="003413CC" w:rsidP="003413C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Sayfa</w:t>
          </w:r>
          <w:r>
            <w:rPr>
              <w:sz w:val="20"/>
              <w:szCs w:val="20"/>
            </w:rPr>
            <w:t xml:space="preserve"> No</w:t>
          </w:r>
        </w:p>
      </w:tc>
      <w:tc>
        <w:tcPr>
          <w:tcW w:w="1207" w:type="dxa"/>
          <w:vAlign w:val="center"/>
        </w:tcPr>
        <w:p w:rsidR="003413CC" w:rsidRPr="00A23D60" w:rsidRDefault="0005391C" w:rsidP="003413CC">
          <w:pPr>
            <w:pStyle w:val="stbilgi"/>
            <w:rPr>
              <w:sz w:val="18"/>
              <w:szCs w:val="18"/>
            </w:rPr>
          </w:pPr>
          <w:r w:rsidRPr="005C64E5">
            <w:rPr>
              <w:sz w:val="18"/>
              <w:szCs w:val="18"/>
            </w:rPr>
            <w:fldChar w:fldCharType="begin"/>
          </w:r>
          <w:r w:rsidR="003413CC" w:rsidRPr="005C64E5">
            <w:rPr>
              <w:sz w:val="18"/>
              <w:szCs w:val="18"/>
            </w:rPr>
            <w:instrText xml:space="preserve"> PAGE   \* MERGEFORMAT </w:instrText>
          </w:r>
          <w:r w:rsidRPr="005C64E5">
            <w:rPr>
              <w:sz w:val="18"/>
              <w:szCs w:val="18"/>
            </w:rPr>
            <w:fldChar w:fldCharType="separate"/>
          </w:r>
          <w:r w:rsidR="00E509A1">
            <w:rPr>
              <w:noProof/>
              <w:sz w:val="18"/>
              <w:szCs w:val="18"/>
            </w:rPr>
            <w:t>1</w:t>
          </w:r>
          <w:r w:rsidRPr="005C64E5">
            <w:rPr>
              <w:sz w:val="18"/>
              <w:szCs w:val="18"/>
            </w:rPr>
            <w:fldChar w:fldCharType="end"/>
          </w:r>
          <w:r w:rsidR="003413CC" w:rsidRPr="00A23D60">
            <w:rPr>
              <w:sz w:val="18"/>
              <w:szCs w:val="18"/>
            </w:rPr>
            <w:t>/2</w:t>
          </w:r>
        </w:p>
      </w:tc>
    </w:tr>
  </w:tbl>
  <w:p w:rsidR="0010765D" w:rsidRDefault="001076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AE8"/>
    <w:multiLevelType w:val="hybridMultilevel"/>
    <w:tmpl w:val="1832B8B0"/>
    <w:lvl w:ilvl="0" w:tplc="A6604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0D1"/>
    <w:multiLevelType w:val="hybridMultilevel"/>
    <w:tmpl w:val="61AA2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2B0D"/>
    <w:multiLevelType w:val="multilevel"/>
    <w:tmpl w:val="A56C8C1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u w:val="none"/>
      </w:rPr>
    </w:lvl>
    <w:lvl w:ilvl="2">
      <w:start w:val="1"/>
      <w:numFmt w:val="lowerLetter"/>
      <w:lvlText w:val="%3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/>
        <w:b/>
        <w:u w:val="non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45E4"/>
    <w:rsid w:val="00002533"/>
    <w:rsid w:val="00003C60"/>
    <w:rsid w:val="00017853"/>
    <w:rsid w:val="00040BD4"/>
    <w:rsid w:val="0005391C"/>
    <w:rsid w:val="00061089"/>
    <w:rsid w:val="000841C3"/>
    <w:rsid w:val="000B31A1"/>
    <w:rsid w:val="000D12DE"/>
    <w:rsid w:val="000F06B9"/>
    <w:rsid w:val="0010420F"/>
    <w:rsid w:val="0010765D"/>
    <w:rsid w:val="00117D71"/>
    <w:rsid w:val="00124942"/>
    <w:rsid w:val="001A435D"/>
    <w:rsid w:val="001D1A2F"/>
    <w:rsid w:val="001F2647"/>
    <w:rsid w:val="001F5A39"/>
    <w:rsid w:val="00205D4E"/>
    <w:rsid w:val="00260164"/>
    <w:rsid w:val="00267578"/>
    <w:rsid w:val="00291B78"/>
    <w:rsid w:val="002971B1"/>
    <w:rsid w:val="002A6DB9"/>
    <w:rsid w:val="002B6D3F"/>
    <w:rsid w:val="002C53D3"/>
    <w:rsid w:val="00334A90"/>
    <w:rsid w:val="003413CC"/>
    <w:rsid w:val="00347438"/>
    <w:rsid w:val="00352E94"/>
    <w:rsid w:val="00354276"/>
    <w:rsid w:val="00394C0D"/>
    <w:rsid w:val="00395E12"/>
    <w:rsid w:val="003A6043"/>
    <w:rsid w:val="003B584B"/>
    <w:rsid w:val="003F4D16"/>
    <w:rsid w:val="00400AA6"/>
    <w:rsid w:val="004F4FF5"/>
    <w:rsid w:val="00515F80"/>
    <w:rsid w:val="00525861"/>
    <w:rsid w:val="00527BBE"/>
    <w:rsid w:val="005464CE"/>
    <w:rsid w:val="00551C8B"/>
    <w:rsid w:val="00551CD5"/>
    <w:rsid w:val="00583734"/>
    <w:rsid w:val="005D1B92"/>
    <w:rsid w:val="005F61AB"/>
    <w:rsid w:val="00600E43"/>
    <w:rsid w:val="00604D26"/>
    <w:rsid w:val="0061703F"/>
    <w:rsid w:val="00621977"/>
    <w:rsid w:val="00626688"/>
    <w:rsid w:val="00640FA0"/>
    <w:rsid w:val="006537B7"/>
    <w:rsid w:val="00656DEC"/>
    <w:rsid w:val="00660657"/>
    <w:rsid w:val="00681DCF"/>
    <w:rsid w:val="00682373"/>
    <w:rsid w:val="006A2039"/>
    <w:rsid w:val="006D4BD5"/>
    <w:rsid w:val="006F09C1"/>
    <w:rsid w:val="007005AF"/>
    <w:rsid w:val="0071198D"/>
    <w:rsid w:val="007133AE"/>
    <w:rsid w:val="00722362"/>
    <w:rsid w:val="00782036"/>
    <w:rsid w:val="0078288C"/>
    <w:rsid w:val="007A2CF6"/>
    <w:rsid w:val="007A3784"/>
    <w:rsid w:val="007B419D"/>
    <w:rsid w:val="007C56C5"/>
    <w:rsid w:val="0082315E"/>
    <w:rsid w:val="00834BFE"/>
    <w:rsid w:val="008352EB"/>
    <w:rsid w:val="00837F49"/>
    <w:rsid w:val="008576AB"/>
    <w:rsid w:val="00873186"/>
    <w:rsid w:val="008A732C"/>
    <w:rsid w:val="008B4624"/>
    <w:rsid w:val="008E2A9F"/>
    <w:rsid w:val="008E348B"/>
    <w:rsid w:val="008E4451"/>
    <w:rsid w:val="008E47FF"/>
    <w:rsid w:val="009229A6"/>
    <w:rsid w:val="009244C7"/>
    <w:rsid w:val="0093471B"/>
    <w:rsid w:val="00941B0F"/>
    <w:rsid w:val="0095407B"/>
    <w:rsid w:val="009649AF"/>
    <w:rsid w:val="00966E34"/>
    <w:rsid w:val="009C4C17"/>
    <w:rsid w:val="009E0BC6"/>
    <w:rsid w:val="009F1FD9"/>
    <w:rsid w:val="00A1007F"/>
    <w:rsid w:val="00A10685"/>
    <w:rsid w:val="00A20566"/>
    <w:rsid w:val="00A8417E"/>
    <w:rsid w:val="00AE2226"/>
    <w:rsid w:val="00B01CBF"/>
    <w:rsid w:val="00B06B8B"/>
    <w:rsid w:val="00B205EC"/>
    <w:rsid w:val="00B244B4"/>
    <w:rsid w:val="00B27E53"/>
    <w:rsid w:val="00B745E4"/>
    <w:rsid w:val="00B77C61"/>
    <w:rsid w:val="00B834E3"/>
    <w:rsid w:val="00BA34C8"/>
    <w:rsid w:val="00BA47A8"/>
    <w:rsid w:val="00BC4B30"/>
    <w:rsid w:val="00BC6C5F"/>
    <w:rsid w:val="00BD1417"/>
    <w:rsid w:val="00BF7514"/>
    <w:rsid w:val="00C53CCA"/>
    <w:rsid w:val="00C72F6B"/>
    <w:rsid w:val="00CC4765"/>
    <w:rsid w:val="00CD610E"/>
    <w:rsid w:val="00CF1BAE"/>
    <w:rsid w:val="00D17E03"/>
    <w:rsid w:val="00D27DEB"/>
    <w:rsid w:val="00D3106F"/>
    <w:rsid w:val="00D62798"/>
    <w:rsid w:val="00D654AD"/>
    <w:rsid w:val="00D8403C"/>
    <w:rsid w:val="00D8658F"/>
    <w:rsid w:val="00DA1FB9"/>
    <w:rsid w:val="00DA515B"/>
    <w:rsid w:val="00DC6324"/>
    <w:rsid w:val="00DD2244"/>
    <w:rsid w:val="00DF6AA9"/>
    <w:rsid w:val="00E12D1F"/>
    <w:rsid w:val="00E161B9"/>
    <w:rsid w:val="00E16260"/>
    <w:rsid w:val="00E22F14"/>
    <w:rsid w:val="00E40AD6"/>
    <w:rsid w:val="00E509A1"/>
    <w:rsid w:val="00E52562"/>
    <w:rsid w:val="00E73436"/>
    <w:rsid w:val="00E81711"/>
    <w:rsid w:val="00E848CA"/>
    <w:rsid w:val="00E8667D"/>
    <w:rsid w:val="00EB3110"/>
    <w:rsid w:val="00EC0021"/>
    <w:rsid w:val="00EC0771"/>
    <w:rsid w:val="00EE1E6C"/>
    <w:rsid w:val="00EE5E8F"/>
    <w:rsid w:val="00EF5E43"/>
    <w:rsid w:val="00EF687C"/>
    <w:rsid w:val="00F37170"/>
    <w:rsid w:val="00F51CF0"/>
    <w:rsid w:val="00F545FE"/>
    <w:rsid w:val="00F60271"/>
    <w:rsid w:val="00F84BD9"/>
    <w:rsid w:val="00FC30E0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E34"/>
    <w:rPr>
      <w:sz w:val="24"/>
      <w:szCs w:val="24"/>
    </w:rPr>
  </w:style>
  <w:style w:type="paragraph" w:styleId="Balk9">
    <w:name w:val="heading 9"/>
    <w:basedOn w:val="Normal"/>
    <w:next w:val="Normal"/>
    <w:qFormat/>
    <w:rsid w:val="00966E34"/>
    <w:pPr>
      <w:keepNext/>
      <w:jc w:val="center"/>
      <w:outlineLvl w:val="8"/>
    </w:pPr>
    <w:rPr>
      <w:rFonts w:ascii="Tahoma" w:hAnsi="Tahoma" w:cs="Tahoma"/>
      <w:b/>
      <w:bCs/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66E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66E3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F4FF5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525861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9E0BC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1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YERİ</vt:lpstr>
    </vt:vector>
  </TitlesOfParts>
  <Company>By NeC ® 2010 | Katilimsiz.Com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YERİ</dc:title>
  <dc:creator>ORKUN</dc:creator>
  <cp:lastModifiedBy>KMU</cp:lastModifiedBy>
  <cp:revision>4</cp:revision>
  <cp:lastPrinted>2019-06-27T13:17:00Z</cp:lastPrinted>
  <dcterms:created xsi:type="dcterms:W3CDTF">2023-11-01T06:17:00Z</dcterms:created>
  <dcterms:modified xsi:type="dcterms:W3CDTF">2023-12-27T12:36:00Z</dcterms:modified>
</cp:coreProperties>
</file>