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421"/>
        <w:gridCol w:w="2547"/>
        <w:gridCol w:w="2277"/>
        <w:gridCol w:w="412"/>
        <w:gridCol w:w="2080"/>
      </w:tblGrid>
      <w:tr w:rsidR="008B2B35" w:rsidRPr="003458C1" w:rsidTr="003458C1">
        <w:trPr>
          <w:trHeight w:val="460"/>
        </w:trPr>
        <w:tc>
          <w:tcPr>
            <w:tcW w:w="2905" w:type="dxa"/>
            <w:shd w:val="clear" w:color="auto" w:fill="D9D9D9"/>
            <w:vAlign w:val="center"/>
          </w:tcPr>
          <w:p w:rsidR="008B2B35" w:rsidRPr="003458C1" w:rsidRDefault="008B2B35" w:rsidP="008B2B35">
            <w:pPr>
              <w:pStyle w:val="Balk9"/>
              <w:jc w:val="left"/>
              <w:rPr>
                <w:rFonts w:ascii="Times New Roman" w:hAnsi="Times New Roman" w:cs="Times New Roman"/>
                <w:b w:val="0"/>
                <w:bCs w:val="0"/>
                <w:iCs w:val="0"/>
                <w:sz w:val="21"/>
                <w:szCs w:val="21"/>
              </w:rPr>
            </w:pPr>
            <w:r w:rsidRPr="003458C1">
              <w:rPr>
                <w:rFonts w:ascii="Times New Roman" w:hAnsi="Times New Roman" w:cs="Times New Roman"/>
                <w:i w:val="0"/>
                <w:sz w:val="21"/>
                <w:szCs w:val="21"/>
              </w:rPr>
              <w:t>TOPLANTI TARİHİ/SAATİ</w:t>
            </w:r>
          </w:p>
        </w:tc>
        <w:tc>
          <w:tcPr>
            <w:tcW w:w="2968" w:type="dxa"/>
            <w:gridSpan w:val="2"/>
            <w:vAlign w:val="center"/>
          </w:tcPr>
          <w:p w:rsidR="008B2B35" w:rsidRPr="003458C1" w:rsidRDefault="001A6EA3" w:rsidP="00D40A5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</w:t>
            </w:r>
            <w:proofErr w:type="gramStart"/>
            <w:r w:rsidR="00D40A57">
              <w:rPr>
                <w:b/>
                <w:bCs/>
                <w:sz w:val="21"/>
                <w:szCs w:val="21"/>
              </w:rPr>
              <w:t>02</w:t>
            </w:r>
            <w:r w:rsidR="008B2B35" w:rsidRPr="003458C1">
              <w:rPr>
                <w:b/>
                <w:bCs/>
                <w:sz w:val="21"/>
                <w:szCs w:val="21"/>
              </w:rPr>
              <w:t>/0</w:t>
            </w:r>
            <w:r>
              <w:rPr>
                <w:b/>
                <w:bCs/>
                <w:sz w:val="21"/>
                <w:szCs w:val="21"/>
              </w:rPr>
              <w:t>9</w:t>
            </w:r>
            <w:r w:rsidR="008B2B35" w:rsidRPr="003458C1">
              <w:rPr>
                <w:b/>
                <w:bCs/>
                <w:sz w:val="21"/>
                <w:szCs w:val="21"/>
              </w:rPr>
              <w:t>/2024</w:t>
            </w:r>
            <w:proofErr w:type="gramEnd"/>
          </w:p>
        </w:tc>
        <w:tc>
          <w:tcPr>
            <w:tcW w:w="2277" w:type="dxa"/>
            <w:shd w:val="clear" w:color="auto" w:fill="D9D9D9"/>
            <w:vAlign w:val="center"/>
          </w:tcPr>
          <w:p w:rsidR="008B2B35" w:rsidRPr="003458C1" w:rsidRDefault="008B2B35" w:rsidP="00643219">
            <w:pPr>
              <w:pStyle w:val="Balk9"/>
              <w:jc w:val="left"/>
              <w:rPr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3458C1">
              <w:rPr>
                <w:rFonts w:ascii="Times New Roman" w:hAnsi="Times New Roman" w:cs="Times New Roman"/>
                <w:i w:val="0"/>
                <w:sz w:val="21"/>
                <w:szCs w:val="21"/>
              </w:rPr>
              <w:t>TOPLANTI NO</w:t>
            </w:r>
          </w:p>
        </w:tc>
        <w:tc>
          <w:tcPr>
            <w:tcW w:w="2492" w:type="dxa"/>
            <w:gridSpan w:val="2"/>
            <w:vAlign w:val="center"/>
          </w:tcPr>
          <w:p w:rsidR="008B2B35" w:rsidRPr="003458C1" w:rsidRDefault="008B2B35" w:rsidP="001A6EA3">
            <w:pPr>
              <w:rPr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0</w:t>
            </w:r>
            <w:r w:rsidR="001A6EA3">
              <w:rPr>
                <w:b/>
                <w:bCs/>
                <w:sz w:val="21"/>
                <w:szCs w:val="21"/>
              </w:rPr>
              <w:t>3</w:t>
            </w:r>
            <w:r w:rsidRPr="003458C1">
              <w:rPr>
                <w:b/>
                <w:bCs/>
                <w:sz w:val="21"/>
                <w:szCs w:val="21"/>
              </w:rPr>
              <w:t>-2024</w:t>
            </w:r>
          </w:p>
        </w:tc>
      </w:tr>
      <w:tr w:rsidR="008B2B35" w:rsidRPr="003458C1" w:rsidTr="003458C1">
        <w:trPr>
          <w:trHeight w:val="538"/>
        </w:trPr>
        <w:tc>
          <w:tcPr>
            <w:tcW w:w="2905" w:type="dxa"/>
            <w:shd w:val="clear" w:color="auto" w:fill="D9D9D9"/>
            <w:vAlign w:val="center"/>
          </w:tcPr>
          <w:p w:rsidR="008B2B35" w:rsidRPr="003458C1" w:rsidRDefault="008B2B35" w:rsidP="00792DFC">
            <w:pPr>
              <w:pStyle w:val="Balk9"/>
              <w:jc w:val="left"/>
              <w:rPr>
                <w:rFonts w:ascii="Times New Roman" w:hAnsi="Times New Roman" w:cs="Times New Roman"/>
                <w:i w:val="0"/>
                <w:sz w:val="21"/>
                <w:szCs w:val="21"/>
              </w:rPr>
            </w:pPr>
            <w:r w:rsidRPr="003458C1">
              <w:rPr>
                <w:rFonts w:ascii="Times New Roman" w:hAnsi="Times New Roman" w:cs="Times New Roman"/>
                <w:i w:val="0"/>
                <w:sz w:val="21"/>
                <w:szCs w:val="21"/>
              </w:rPr>
              <w:t>TOPLANTI YERİ</w:t>
            </w:r>
          </w:p>
        </w:tc>
        <w:tc>
          <w:tcPr>
            <w:tcW w:w="7737" w:type="dxa"/>
            <w:gridSpan w:val="5"/>
            <w:vAlign w:val="center"/>
          </w:tcPr>
          <w:p w:rsidR="008B2B35" w:rsidRPr="003458C1" w:rsidRDefault="008B2B35" w:rsidP="00792DFC">
            <w:pPr>
              <w:rPr>
                <w:b/>
                <w:bCs/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KMÜ SENATO TOPLANTI SALONU</w:t>
            </w:r>
          </w:p>
        </w:tc>
      </w:tr>
      <w:tr w:rsidR="008B2B35" w:rsidRPr="003458C1" w:rsidTr="00792DFC">
        <w:trPr>
          <w:cantSplit/>
          <w:trHeight w:val="421"/>
        </w:trPr>
        <w:tc>
          <w:tcPr>
            <w:tcW w:w="10642" w:type="dxa"/>
            <w:gridSpan w:val="6"/>
            <w:shd w:val="clear" w:color="auto" w:fill="D9D9D9"/>
            <w:vAlign w:val="center"/>
          </w:tcPr>
          <w:p w:rsidR="008B2B35" w:rsidRPr="003458C1" w:rsidRDefault="008B2B35">
            <w:pPr>
              <w:ind w:right="180"/>
              <w:jc w:val="center"/>
              <w:rPr>
                <w:b/>
                <w:bCs/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TOPLANTININ GÜNDEM MADDELERİ</w:t>
            </w:r>
          </w:p>
        </w:tc>
      </w:tr>
      <w:tr w:rsidR="008B2B35" w:rsidRPr="003458C1" w:rsidTr="005B29BE">
        <w:trPr>
          <w:cantSplit/>
          <w:trHeight w:val="1144"/>
        </w:trPr>
        <w:tc>
          <w:tcPr>
            <w:tcW w:w="10642" w:type="dxa"/>
            <w:gridSpan w:val="6"/>
            <w:shd w:val="clear" w:color="auto" w:fill="FFFFFF"/>
            <w:vAlign w:val="center"/>
          </w:tcPr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 xml:space="preserve">2024 YÖKAK Uluslararası Kalite Güvencesi ve Akreditasyon Konferansı </w:t>
            </w:r>
          </w:p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>II. Kalite Güvencesi ve Akreditasyon Çalıştayı</w:t>
            </w:r>
          </w:p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>Kalite Güvencesi ve İç Değerlendirme Eğitimi</w:t>
            </w:r>
          </w:p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>İç Değerlendirme Süreci</w:t>
            </w:r>
          </w:p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>İç Tetkik Planı ve Uygulaması</w:t>
            </w:r>
          </w:p>
          <w:p w:rsidR="001A6EA3" w:rsidRPr="00185774" w:rsidRDefault="001A6EA3" w:rsidP="001A6EA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 xml:space="preserve">ISO 9001:2015 Kalite Yönetim Sistemi ve ISO 27001:2022 Bilgi Güvenliği Yönetim Sistemi </w:t>
            </w:r>
            <w:r w:rsidR="003E5B33">
              <w:t xml:space="preserve">Kapsamında </w:t>
            </w:r>
            <w:r w:rsidRPr="00185774">
              <w:t>Dış Denetim Süreci</w:t>
            </w:r>
          </w:p>
          <w:p w:rsidR="003E5B33" w:rsidRPr="00185774" w:rsidRDefault="003E5B33" w:rsidP="003E5B33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 xml:space="preserve">2023-2024 Eğitim Öğretim Yılı Bahar Yarıyılı Öğrenci Ders Değerlendirme Anketi </w:t>
            </w:r>
          </w:p>
          <w:p w:rsidR="001A6EA3" w:rsidRPr="00185774" w:rsidRDefault="001A6EA3" w:rsidP="00890CF9">
            <w:pPr>
              <w:numPr>
                <w:ilvl w:val="0"/>
                <w:numId w:val="7"/>
              </w:numPr>
              <w:spacing w:before="80" w:after="80"/>
              <w:ind w:left="426" w:hanging="69"/>
            </w:pPr>
            <w:r w:rsidRPr="00185774">
              <w:t xml:space="preserve">İç Değerlendirici Memnuniyet Anketi </w:t>
            </w:r>
          </w:p>
          <w:p w:rsidR="008B2B35" w:rsidRPr="003458C1" w:rsidRDefault="008B2B35" w:rsidP="00890CF9">
            <w:pPr>
              <w:numPr>
                <w:ilvl w:val="0"/>
                <w:numId w:val="7"/>
              </w:numPr>
              <w:spacing w:before="80" w:after="80"/>
              <w:ind w:left="426" w:hanging="69"/>
              <w:rPr>
                <w:sz w:val="21"/>
                <w:szCs w:val="21"/>
              </w:rPr>
            </w:pPr>
            <w:r w:rsidRPr="00185774">
              <w:t>Geleceğe Yönelik Hedef, Beklenti ve Politikalara İlişkin Değerlendirmeler</w:t>
            </w:r>
          </w:p>
        </w:tc>
      </w:tr>
      <w:tr w:rsidR="008B2B35" w:rsidRPr="003458C1" w:rsidTr="00512B04">
        <w:trPr>
          <w:cantSplit/>
          <w:trHeight w:val="443"/>
        </w:trPr>
        <w:tc>
          <w:tcPr>
            <w:tcW w:w="10642" w:type="dxa"/>
            <w:gridSpan w:val="6"/>
            <w:shd w:val="clear" w:color="auto" w:fill="D9D9D9"/>
            <w:vAlign w:val="center"/>
          </w:tcPr>
          <w:p w:rsidR="008B2B35" w:rsidRPr="003458C1" w:rsidRDefault="002E7512">
            <w:pPr>
              <w:ind w:right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KATILANLAR</w:t>
            </w:r>
          </w:p>
        </w:tc>
      </w:tr>
      <w:tr w:rsidR="008B2B35" w:rsidRPr="003458C1" w:rsidTr="00512B04">
        <w:trPr>
          <w:trHeight w:val="421"/>
        </w:trPr>
        <w:tc>
          <w:tcPr>
            <w:tcW w:w="3326" w:type="dxa"/>
            <w:gridSpan w:val="2"/>
            <w:vAlign w:val="center"/>
          </w:tcPr>
          <w:p w:rsidR="008B2B35" w:rsidRPr="003458C1" w:rsidRDefault="008B2B35" w:rsidP="00512B04">
            <w:pPr>
              <w:ind w:right="180"/>
              <w:rPr>
                <w:b/>
                <w:bCs/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ADI SOYADI</w:t>
            </w:r>
          </w:p>
        </w:tc>
        <w:tc>
          <w:tcPr>
            <w:tcW w:w="2547" w:type="dxa"/>
            <w:vAlign w:val="center"/>
          </w:tcPr>
          <w:p w:rsidR="008B2B35" w:rsidRPr="003458C1" w:rsidRDefault="008B2B35" w:rsidP="00512B04">
            <w:pPr>
              <w:ind w:right="180"/>
              <w:rPr>
                <w:b/>
                <w:bCs/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ÜNVANI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3458C1" w:rsidRDefault="008B2B35" w:rsidP="00512B04">
            <w:pPr>
              <w:ind w:right="180"/>
              <w:rPr>
                <w:b/>
                <w:bCs/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GÖREVİ</w:t>
            </w:r>
          </w:p>
        </w:tc>
        <w:tc>
          <w:tcPr>
            <w:tcW w:w="2080" w:type="dxa"/>
            <w:vAlign w:val="center"/>
          </w:tcPr>
          <w:p w:rsidR="008B2B35" w:rsidRPr="003458C1" w:rsidRDefault="008B2B35" w:rsidP="00512B04">
            <w:pPr>
              <w:ind w:right="180"/>
              <w:rPr>
                <w:b/>
                <w:bCs/>
                <w:sz w:val="21"/>
                <w:szCs w:val="21"/>
              </w:rPr>
            </w:pPr>
            <w:r w:rsidRPr="003458C1">
              <w:rPr>
                <w:b/>
                <w:bCs/>
                <w:sz w:val="21"/>
                <w:szCs w:val="21"/>
              </w:rPr>
              <w:t>İMZA</w:t>
            </w: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r w:rsidRPr="00185774">
              <w:t>Prof. Dr. Mehmet GAVGALI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 xml:space="preserve">Rektör 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Kalite Komisyonu Başkanı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r w:rsidRPr="00185774">
              <w:t>Prof. Dr. Nevzat AYDIN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Rektör Yardımcısı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Kalite Komisyonu</w:t>
            </w:r>
          </w:p>
          <w:p w:rsidR="008B2B35" w:rsidRPr="00185774" w:rsidRDefault="008B2B35" w:rsidP="00F62DED">
            <w:pPr>
              <w:ind w:right="180"/>
            </w:pPr>
            <w:r w:rsidRPr="00185774">
              <w:t>Başkan Yardımcısı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Ahmet TÜFEKCİ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Genel Sekreter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Kalite Komisyonu Üyesi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r w:rsidRPr="00185774">
              <w:t>Doç. Dr. Oğuzhan AYTAR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Koordinatör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722C84">
            <w:pPr>
              <w:ind w:right="180"/>
            </w:pPr>
            <w:r w:rsidRPr="00185774">
              <w:t xml:space="preserve">Kalite Komisyonu Üyesi 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r w:rsidRPr="00185774">
              <w:t>Doç. Dr. Namık Kemal ERDEMİR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AF1F92">
            <w:pPr>
              <w:ind w:right="180"/>
            </w:pPr>
            <w:r w:rsidRPr="00185774">
              <w:t>Koordinatör Yardımcısı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722C84">
            <w:pPr>
              <w:ind w:right="180"/>
            </w:pPr>
            <w:r w:rsidRPr="00185774">
              <w:t xml:space="preserve">Kalite Komisyonu Üyesi 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8B2B3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Öğr. Gör. Aliye KIRAY</w:t>
            </w:r>
          </w:p>
        </w:tc>
        <w:tc>
          <w:tcPr>
            <w:tcW w:w="2547" w:type="dxa"/>
            <w:vAlign w:val="center"/>
          </w:tcPr>
          <w:p w:rsidR="008B2B35" w:rsidRPr="00185774" w:rsidRDefault="008B2B35" w:rsidP="00722C84">
            <w:pPr>
              <w:ind w:right="180"/>
            </w:pPr>
            <w:r w:rsidRPr="00185774">
              <w:t>Üye</w:t>
            </w:r>
          </w:p>
        </w:tc>
        <w:tc>
          <w:tcPr>
            <w:tcW w:w="2689" w:type="dxa"/>
            <w:gridSpan w:val="2"/>
            <w:vAlign w:val="center"/>
          </w:tcPr>
          <w:p w:rsidR="008B2B35" w:rsidRPr="00185774" w:rsidRDefault="008B2B35" w:rsidP="00F62DED">
            <w:pPr>
              <w:ind w:right="180"/>
            </w:pPr>
            <w:r w:rsidRPr="00185774">
              <w:t>Kalite Komisyonu Üyesi / Raportör</w:t>
            </w:r>
          </w:p>
        </w:tc>
        <w:tc>
          <w:tcPr>
            <w:tcW w:w="2080" w:type="dxa"/>
            <w:vAlign w:val="center"/>
          </w:tcPr>
          <w:p w:rsidR="008B2B35" w:rsidRPr="00185774" w:rsidRDefault="008B2B35" w:rsidP="00F62DED">
            <w:pPr>
              <w:ind w:right="180"/>
            </w:pPr>
          </w:p>
        </w:tc>
      </w:tr>
      <w:tr w:rsidR="00BC02C5" w:rsidRPr="003458C1" w:rsidTr="005B29BE">
        <w:trPr>
          <w:trHeight w:val="448"/>
        </w:trPr>
        <w:tc>
          <w:tcPr>
            <w:tcW w:w="3326" w:type="dxa"/>
            <w:gridSpan w:val="2"/>
            <w:vAlign w:val="center"/>
          </w:tcPr>
          <w:p w:rsidR="00BC02C5" w:rsidRPr="00185774" w:rsidRDefault="00BC02C5" w:rsidP="00F62DED">
            <w:pPr>
              <w:ind w:right="180"/>
            </w:pPr>
            <w:r w:rsidRPr="00185774">
              <w:t>Öğr. Gör. Deniz YİĞİT KOÇAK</w:t>
            </w:r>
          </w:p>
        </w:tc>
        <w:tc>
          <w:tcPr>
            <w:tcW w:w="2547" w:type="dxa"/>
            <w:vAlign w:val="center"/>
          </w:tcPr>
          <w:p w:rsidR="00BC02C5" w:rsidRPr="00185774" w:rsidRDefault="00BC02C5" w:rsidP="00661123">
            <w:pPr>
              <w:ind w:right="180"/>
            </w:pPr>
            <w:r w:rsidRPr="00185774">
              <w:t>Üye</w:t>
            </w:r>
          </w:p>
        </w:tc>
        <w:tc>
          <w:tcPr>
            <w:tcW w:w="2689" w:type="dxa"/>
            <w:gridSpan w:val="2"/>
            <w:vAlign w:val="center"/>
          </w:tcPr>
          <w:p w:rsidR="00BC02C5" w:rsidRPr="00185774" w:rsidRDefault="00BC02C5" w:rsidP="00661123">
            <w:pPr>
              <w:ind w:right="180"/>
            </w:pPr>
            <w:r w:rsidRPr="00185774">
              <w:t>Raportör</w:t>
            </w:r>
          </w:p>
        </w:tc>
        <w:tc>
          <w:tcPr>
            <w:tcW w:w="2080" w:type="dxa"/>
            <w:vAlign w:val="center"/>
          </w:tcPr>
          <w:p w:rsidR="00BC02C5" w:rsidRPr="00185774" w:rsidRDefault="00BC02C5" w:rsidP="00F62DED">
            <w:pPr>
              <w:ind w:right="180"/>
            </w:pPr>
          </w:p>
        </w:tc>
      </w:tr>
    </w:tbl>
    <w:p w:rsidR="008E47FF" w:rsidRDefault="008E47FF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p w:rsidR="00D526E1" w:rsidRDefault="00D526E1" w:rsidP="00E73436">
      <w:pPr>
        <w:ind w:right="180"/>
        <w:jc w:val="both"/>
        <w:rPr>
          <w:b/>
          <w:sz w:val="21"/>
          <w:szCs w:val="21"/>
        </w:rPr>
      </w:pPr>
    </w:p>
    <w:tbl>
      <w:tblPr>
        <w:tblW w:w="1078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9"/>
        <w:gridCol w:w="3020"/>
      </w:tblGrid>
      <w:tr w:rsidR="00EF5E43" w:rsidRPr="003458C1" w:rsidTr="00890CF9">
        <w:trPr>
          <w:trHeight w:val="310"/>
        </w:trPr>
        <w:tc>
          <w:tcPr>
            <w:tcW w:w="10789" w:type="dxa"/>
            <w:gridSpan w:val="2"/>
            <w:shd w:val="clear" w:color="auto" w:fill="BFBFBF"/>
            <w:vAlign w:val="center"/>
          </w:tcPr>
          <w:p w:rsidR="00EF5E43" w:rsidRPr="003458C1" w:rsidRDefault="00205D4E" w:rsidP="00205D4E">
            <w:pPr>
              <w:ind w:right="180"/>
              <w:jc w:val="center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lastRenderedPageBreak/>
              <w:t>ALINAN KARARLAR</w:t>
            </w:r>
          </w:p>
        </w:tc>
      </w:tr>
      <w:tr w:rsidR="00792DFC" w:rsidRPr="003458C1" w:rsidTr="00A76566">
        <w:trPr>
          <w:trHeight w:val="1176"/>
        </w:trPr>
        <w:tc>
          <w:tcPr>
            <w:tcW w:w="10789" w:type="dxa"/>
            <w:gridSpan w:val="2"/>
            <w:vAlign w:val="center"/>
          </w:tcPr>
          <w:p w:rsidR="00792DFC" w:rsidRPr="003458C1" w:rsidRDefault="00792DFC" w:rsidP="004F2CC9">
            <w:pPr>
              <w:ind w:left="113" w:right="113"/>
              <w:jc w:val="both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KARAR 0</w:t>
            </w:r>
            <w:r w:rsidR="006D2BDB">
              <w:rPr>
                <w:b/>
                <w:sz w:val="21"/>
                <w:szCs w:val="21"/>
              </w:rPr>
              <w:t>3</w:t>
            </w:r>
            <w:r w:rsidRPr="003458C1">
              <w:rPr>
                <w:b/>
                <w:sz w:val="21"/>
                <w:szCs w:val="21"/>
              </w:rPr>
              <w:t>-2024</w:t>
            </w:r>
            <w:r w:rsidR="004F2CC9">
              <w:rPr>
                <w:b/>
                <w:sz w:val="21"/>
                <w:szCs w:val="21"/>
              </w:rPr>
              <w:t>/</w:t>
            </w:r>
            <w:r w:rsidR="006D2BDB">
              <w:rPr>
                <w:b/>
                <w:sz w:val="21"/>
                <w:szCs w:val="21"/>
              </w:rPr>
              <w:t>10</w:t>
            </w:r>
            <w:r w:rsidRPr="003458C1">
              <w:rPr>
                <w:b/>
                <w:sz w:val="21"/>
                <w:szCs w:val="21"/>
              </w:rPr>
              <w:t>:</w:t>
            </w:r>
            <w:r w:rsidRPr="003458C1">
              <w:rPr>
                <w:sz w:val="21"/>
                <w:szCs w:val="21"/>
              </w:rPr>
              <w:t xml:space="preserve"> </w:t>
            </w:r>
            <w:r w:rsidR="008F1E41">
              <w:rPr>
                <w:sz w:val="21"/>
                <w:szCs w:val="21"/>
              </w:rPr>
              <w:t>Yükseköğretimde</w:t>
            </w:r>
            <w:r w:rsidRPr="003458C1">
              <w:rPr>
                <w:sz w:val="21"/>
                <w:szCs w:val="21"/>
              </w:rPr>
              <w:t xml:space="preserve"> </w:t>
            </w:r>
            <w:r w:rsidR="008F1E41">
              <w:rPr>
                <w:sz w:val="21"/>
                <w:szCs w:val="21"/>
              </w:rPr>
              <w:t>kalite güvencesi ve akreditasyon</w:t>
            </w:r>
            <w:r w:rsidRPr="003458C1">
              <w:rPr>
                <w:sz w:val="21"/>
                <w:szCs w:val="21"/>
              </w:rPr>
              <w:t xml:space="preserve"> </w:t>
            </w:r>
            <w:r w:rsidR="008F1E41">
              <w:rPr>
                <w:sz w:val="21"/>
                <w:szCs w:val="21"/>
              </w:rPr>
              <w:t>faaliyetleri kapsamında çalışmalara hız kesmeksizin devam edilmesi, paydaş katılımına özen gösterilmesi, toplantı ve eğitimler ile anketlerin uygulanmasının sürdürülmesi</w:t>
            </w:r>
            <w:r w:rsidRPr="003458C1">
              <w:rPr>
                <w:sz w:val="21"/>
                <w:szCs w:val="21"/>
              </w:rPr>
              <w:t xml:space="preserve"> kararlaştırılmıştır.</w:t>
            </w:r>
          </w:p>
        </w:tc>
      </w:tr>
      <w:tr w:rsidR="00792DFC" w:rsidRPr="003458C1" w:rsidTr="00890CF9">
        <w:trPr>
          <w:trHeight w:val="412"/>
        </w:trPr>
        <w:tc>
          <w:tcPr>
            <w:tcW w:w="7769" w:type="dxa"/>
            <w:vAlign w:val="center"/>
          </w:tcPr>
          <w:p w:rsidR="00792DFC" w:rsidRPr="003458C1" w:rsidRDefault="00792DFC" w:rsidP="00792DFC">
            <w:pPr>
              <w:ind w:left="113" w:right="181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SORUMLULAR</w:t>
            </w:r>
          </w:p>
        </w:tc>
        <w:tc>
          <w:tcPr>
            <w:tcW w:w="3020" w:type="dxa"/>
            <w:vAlign w:val="center"/>
          </w:tcPr>
          <w:p w:rsidR="00792DFC" w:rsidRPr="003458C1" w:rsidRDefault="00792DFC" w:rsidP="00792DFC">
            <w:pPr>
              <w:ind w:right="180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PLANLANAN TARİH</w:t>
            </w:r>
          </w:p>
        </w:tc>
      </w:tr>
      <w:tr w:rsidR="00792DFC" w:rsidRPr="003458C1" w:rsidTr="00890CF9">
        <w:trPr>
          <w:trHeight w:val="787"/>
        </w:trPr>
        <w:tc>
          <w:tcPr>
            <w:tcW w:w="7769" w:type="dxa"/>
            <w:vAlign w:val="center"/>
          </w:tcPr>
          <w:p w:rsidR="00792DFC" w:rsidRPr="003458C1" w:rsidRDefault="00792DFC" w:rsidP="00792DF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Rektörlük</w:t>
            </w:r>
          </w:p>
          <w:p w:rsidR="008F1E41" w:rsidRDefault="00792DFC" w:rsidP="00792DF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 xml:space="preserve">- </w:t>
            </w:r>
            <w:r w:rsidR="008F1E41">
              <w:rPr>
                <w:sz w:val="21"/>
                <w:szCs w:val="21"/>
              </w:rPr>
              <w:t>Kalite Komisyonu</w:t>
            </w:r>
          </w:p>
          <w:p w:rsidR="008F1E41" w:rsidRPr="003458C1" w:rsidRDefault="008F1E41" w:rsidP="00792DFC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Kalite Alt Komisyonları</w:t>
            </w:r>
          </w:p>
          <w:p w:rsidR="00B26B17" w:rsidRPr="003458C1" w:rsidRDefault="00B26B17" w:rsidP="00792DF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Kalite Güvencesi ve Akreditasyon Koordinatörlüğü</w:t>
            </w:r>
          </w:p>
        </w:tc>
        <w:tc>
          <w:tcPr>
            <w:tcW w:w="3020" w:type="dxa"/>
            <w:vAlign w:val="center"/>
          </w:tcPr>
          <w:p w:rsidR="00792DFC" w:rsidRPr="003458C1" w:rsidRDefault="00F53D7F" w:rsidP="00792DFC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2024-2025 Eğitim Öğretim Yılı</w:t>
            </w:r>
          </w:p>
        </w:tc>
      </w:tr>
      <w:tr w:rsidR="00792DFC" w:rsidRPr="003458C1" w:rsidTr="00A76566">
        <w:trPr>
          <w:trHeight w:val="1285"/>
        </w:trPr>
        <w:tc>
          <w:tcPr>
            <w:tcW w:w="10789" w:type="dxa"/>
            <w:gridSpan w:val="2"/>
            <w:vAlign w:val="center"/>
          </w:tcPr>
          <w:p w:rsidR="00792DFC" w:rsidRPr="003458C1" w:rsidRDefault="00792DFC" w:rsidP="00F53D7F">
            <w:pPr>
              <w:ind w:left="113" w:right="113"/>
              <w:jc w:val="both"/>
              <w:rPr>
                <w:sz w:val="21"/>
                <w:szCs w:val="21"/>
              </w:rPr>
            </w:pPr>
            <w:proofErr w:type="gramStart"/>
            <w:r w:rsidRPr="003458C1">
              <w:rPr>
                <w:b/>
                <w:sz w:val="21"/>
                <w:szCs w:val="21"/>
              </w:rPr>
              <w:t>KARAR 0</w:t>
            </w:r>
            <w:r w:rsidR="00F53D7F">
              <w:rPr>
                <w:b/>
                <w:sz w:val="21"/>
                <w:szCs w:val="21"/>
              </w:rPr>
              <w:t>3</w:t>
            </w:r>
            <w:r w:rsidRPr="003458C1">
              <w:rPr>
                <w:b/>
                <w:sz w:val="21"/>
                <w:szCs w:val="21"/>
              </w:rPr>
              <w:t>-2024</w:t>
            </w:r>
            <w:r w:rsidR="004F2CC9">
              <w:rPr>
                <w:b/>
                <w:sz w:val="21"/>
                <w:szCs w:val="21"/>
              </w:rPr>
              <w:t>/</w:t>
            </w:r>
            <w:r w:rsidR="00F53D7F">
              <w:rPr>
                <w:b/>
                <w:sz w:val="21"/>
                <w:szCs w:val="21"/>
              </w:rPr>
              <w:t>11</w:t>
            </w:r>
            <w:r w:rsidRPr="003458C1">
              <w:rPr>
                <w:b/>
                <w:sz w:val="21"/>
                <w:szCs w:val="21"/>
              </w:rPr>
              <w:t>:</w:t>
            </w:r>
            <w:r w:rsidRPr="003458C1">
              <w:rPr>
                <w:sz w:val="21"/>
                <w:szCs w:val="21"/>
              </w:rPr>
              <w:t xml:space="preserve"> </w:t>
            </w:r>
            <w:r w:rsidR="00F53D7F">
              <w:rPr>
                <w:sz w:val="21"/>
                <w:szCs w:val="21"/>
              </w:rPr>
              <w:t>Öğrenci Ders Değerlendirme Anketinin tüm öğrencileri ve dersleri kapsayacak şekilde yapılmasına dikkat edilmesi, gerekirse akademik takvimi farklı olan bölüm/programlar için farklı tarihlerde anket uygulanması; anket sonuçlarının ilgili birimlere gönderildikten sonra birimlerdeki komisyonlarda değerlendirilip değerlendirilmediğinin kontrol edilmesi ve eğitim öğretimin iyileştirilmesine yönelik adımların dikkatle atılmasına devam edilmesi kararlaştırılmıştır.</w:t>
            </w:r>
            <w:proofErr w:type="gramEnd"/>
          </w:p>
        </w:tc>
      </w:tr>
      <w:tr w:rsidR="00792DFC" w:rsidRPr="003458C1" w:rsidTr="00890CF9">
        <w:trPr>
          <w:trHeight w:val="442"/>
        </w:trPr>
        <w:tc>
          <w:tcPr>
            <w:tcW w:w="7769" w:type="dxa"/>
            <w:vAlign w:val="center"/>
          </w:tcPr>
          <w:p w:rsidR="00792DFC" w:rsidRPr="003458C1" w:rsidRDefault="00792DFC" w:rsidP="00643219">
            <w:pPr>
              <w:ind w:left="113" w:right="181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SORUMLULAR</w:t>
            </w:r>
          </w:p>
        </w:tc>
        <w:tc>
          <w:tcPr>
            <w:tcW w:w="3020" w:type="dxa"/>
            <w:vAlign w:val="center"/>
          </w:tcPr>
          <w:p w:rsidR="00792DFC" w:rsidRPr="003458C1" w:rsidRDefault="00792DFC" w:rsidP="00643219">
            <w:pPr>
              <w:ind w:right="180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PLANLANAN TARİH</w:t>
            </w:r>
          </w:p>
        </w:tc>
      </w:tr>
      <w:tr w:rsidR="00792DFC" w:rsidRPr="003458C1" w:rsidTr="00890CF9">
        <w:trPr>
          <w:trHeight w:val="1104"/>
        </w:trPr>
        <w:tc>
          <w:tcPr>
            <w:tcW w:w="7769" w:type="dxa"/>
            <w:vAlign w:val="center"/>
          </w:tcPr>
          <w:p w:rsidR="00792DFC" w:rsidRPr="003458C1" w:rsidRDefault="00792DFC" w:rsidP="00792DF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Rektörlük</w:t>
            </w:r>
          </w:p>
          <w:p w:rsidR="008D79CC" w:rsidRDefault="008D79CC" w:rsidP="008D79C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Kalite Komisyonu</w:t>
            </w:r>
          </w:p>
          <w:p w:rsidR="008D79CC" w:rsidRPr="003458C1" w:rsidRDefault="008D79CC" w:rsidP="008D79CC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Kalite Alt Komisyonları</w:t>
            </w:r>
          </w:p>
          <w:p w:rsidR="00792DFC" w:rsidRPr="003458C1" w:rsidRDefault="00792DFC" w:rsidP="00792DFC">
            <w:pPr>
              <w:ind w:right="181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Akademik Birimler</w:t>
            </w:r>
          </w:p>
          <w:p w:rsidR="00B26B17" w:rsidRPr="003458C1" w:rsidRDefault="00B26B17" w:rsidP="00B26B17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Kalite Güvencesi ve Akreditasyon Koordinatörlüğü</w:t>
            </w:r>
          </w:p>
        </w:tc>
        <w:tc>
          <w:tcPr>
            <w:tcW w:w="3020" w:type="dxa"/>
            <w:vAlign w:val="center"/>
          </w:tcPr>
          <w:p w:rsidR="00792DFC" w:rsidRPr="003458C1" w:rsidRDefault="00CA0959" w:rsidP="00643219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2024-2025 Eğitim Öğretim Yılı</w:t>
            </w:r>
          </w:p>
        </w:tc>
      </w:tr>
      <w:tr w:rsidR="00C543A4" w:rsidRPr="003458C1" w:rsidTr="001E58FF">
        <w:trPr>
          <w:trHeight w:val="885"/>
        </w:trPr>
        <w:tc>
          <w:tcPr>
            <w:tcW w:w="10789" w:type="dxa"/>
            <w:gridSpan w:val="2"/>
            <w:vAlign w:val="center"/>
          </w:tcPr>
          <w:p w:rsidR="00C543A4" w:rsidRPr="003458C1" w:rsidRDefault="00C543A4" w:rsidP="00CA0959">
            <w:pPr>
              <w:spacing w:before="60" w:after="60" w:line="276" w:lineRule="auto"/>
              <w:ind w:left="113" w:right="113"/>
              <w:jc w:val="both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0</w:t>
            </w:r>
            <w:r w:rsidR="00CA0959">
              <w:rPr>
                <w:b/>
                <w:sz w:val="21"/>
                <w:szCs w:val="21"/>
              </w:rPr>
              <w:t>3</w:t>
            </w:r>
            <w:r w:rsidRPr="003458C1">
              <w:rPr>
                <w:b/>
                <w:sz w:val="21"/>
                <w:szCs w:val="21"/>
              </w:rPr>
              <w:t>-2024</w:t>
            </w:r>
            <w:r w:rsidR="004F2CC9">
              <w:rPr>
                <w:b/>
                <w:sz w:val="21"/>
                <w:szCs w:val="21"/>
              </w:rPr>
              <w:t>/</w:t>
            </w:r>
            <w:r w:rsidR="00CA0959">
              <w:rPr>
                <w:b/>
                <w:sz w:val="21"/>
                <w:szCs w:val="21"/>
              </w:rPr>
              <w:t>12</w:t>
            </w:r>
            <w:r w:rsidRPr="003458C1">
              <w:rPr>
                <w:b/>
                <w:sz w:val="21"/>
                <w:szCs w:val="21"/>
              </w:rPr>
              <w:t>:</w:t>
            </w:r>
            <w:r w:rsidR="001E58FF" w:rsidRPr="003458C1">
              <w:rPr>
                <w:b/>
                <w:sz w:val="21"/>
                <w:szCs w:val="21"/>
              </w:rPr>
              <w:t xml:space="preserve"> </w:t>
            </w:r>
            <w:r w:rsidR="00CA0959" w:rsidRPr="00CA0959">
              <w:rPr>
                <w:sz w:val="21"/>
                <w:szCs w:val="21"/>
              </w:rPr>
              <w:t>İç Değerlendirici Memnuniyet Anketi sonuçları incelenerek eksik görülen hususların iyileştirilmesi, iç değerlendirmenin daha geniş bir zamana yayılması,</w:t>
            </w:r>
            <w:r w:rsidR="00CA0959">
              <w:rPr>
                <w:sz w:val="21"/>
                <w:szCs w:val="21"/>
              </w:rPr>
              <w:t xml:space="preserve"> evrakların azaltılması ve sadeleştirilmesi,</w:t>
            </w:r>
            <w:r w:rsidR="00CA0959" w:rsidRPr="00CA0959">
              <w:rPr>
                <w:sz w:val="21"/>
                <w:szCs w:val="21"/>
              </w:rPr>
              <w:t xml:space="preserve"> iç değerlendirme konusunda daha fazla sayıda eğitim, seminer, toplantı vb düzenlenmesi, iç değerlendirmeyle ilgili olarak yüz yüze görüşmelerin yanı sır</w:t>
            </w:r>
            <w:r w:rsidR="00CA0959">
              <w:rPr>
                <w:sz w:val="21"/>
                <w:szCs w:val="21"/>
              </w:rPr>
              <w:t>a uzaktan ve otomasyon sistem</w:t>
            </w:r>
            <w:r w:rsidR="00CA0959" w:rsidRPr="00CA0959">
              <w:rPr>
                <w:sz w:val="21"/>
                <w:szCs w:val="21"/>
              </w:rPr>
              <w:t xml:space="preserve">i üzerinden değerlendirmelerin de sürece </w:t>
            </w:r>
            <w:proofErr w:type="gramStart"/>
            <w:r w:rsidR="00CA0959" w:rsidRPr="00CA0959">
              <w:rPr>
                <w:sz w:val="21"/>
                <w:szCs w:val="21"/>
              </w:rPr>
              <w:t>dahil</w:t>
            </w:r>
            <w:proofErr w:type="gramEnd"/>
            <w:r w:rsidR="00CA0959" w:rsidRPr="00CA0959">
              <w:rPr>
                <w:sz w:val="21"/>
                <w:szCs w:val="21"/>
              </w:rPr>
              <w:t xml:space="preserve"> edilmesi hususunda gerekli adımların atılması</w:t>
            </w:r>
            <w:r w:rsidR="00CA0959">
              <w:rPr>
                <w:b/>
                <w:sz w:val="21"/>
                <w:szCs w:val="21"/>
              </w:rPr>
              <w:t xml:space="preserve"> </w:t>
            </w:r>
            <w:r w:rsidR="001E58FF" w:rsidRPr="003458C1">
              <w:rPr>
                <w:sz w:val="21"/>
                <w:szCs w:val="21"/>
              </w:rPr>
              <w:t>kararlaştırılmıştır.</w:t>
            </w:r>
          </w:p>
        </w:tc>
      </w:tr>
      <w:tr w:rsidR="00C543A4" w:rsidRPr="003458C1" w:rsidTr="00A76566">
        <w:trPr>
          <w:trHeight w:val="437"/>
        </w:trPr>
        <w:tc>
          <w:tcPr>
            <w:tcW w:w="7769" w:type="dxa"/>
            <w:vAlign w:val="center"/>
          </w:tcPr>
          <w:p w:rsidR="00C543A4" w:rsidRPr="003458C1" w:rsidRDefault="00C543A4" w:rsidP="00643219">
            <w:pPr>
              <w:ind w:left="113" w:right="181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SORUMLULAR</w:t>
            </w:r>
          </w:p>
        </w:tc>
        <w:tc>
          <w:tcPr>
            <w:tcW w:w="3020" w:type="dxa"/>
            <w:vAlign w:val="center"/>
          </w:tcPr>
          <w:p w:rsidR="00C543A4" w:rsidRPr="003458C1" w:rsidRDefault="00C543A4" w:rsidP="00643219">
            <w:pPr>
              <w:ind w:right="180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PLANLANAN TARİH</w:t>
            </w:r>
          </w:p>
        </w:tc>
      </w:tr>
      <w:tr w:rsidR="00C543A4" w:rsidRPr="003458C1" w:rsidTr="00FE38B7">
        <w:trPr>
          <w:trHeight w:val="792"/>
        </w:trPr>
        <w:tc>
          <w:tcPr>
            <w:tcW w:w="7769" w:type="dxa"/>
            <w:vAlign w:val="center"/>
          </w:tcPr>
          <w:p w:rsidR="00CA0959" w:rsidRPr="003458C1" w:rsidRDefault="00CA0959" w:rsidP="00CA0959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Rektörlük</w:t>
            </w:r>
          </w:p>
          <w:p w:rsidR="00CA0959" w:rsidRDefault="00CA0959" w:rsidP="00CA0959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Kalite Komisyonu</w:t>
            </w:r>
          </w:p>
          <w:p w:rsidR="00CA0959" w:rsidRPr="003458C1" w:rsidRDefault="00CA0959" w:rsidP="00CA0959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Kalite Alt Komisyonları</w:t>
            </w:r>
          </w:p>
          <w:p w:rsidR="001E58FF" w:rsidRPr="003458C1" w:rsidRDefault="00CA0959" w:rsidP="00CA0959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Kalite Güvencesi ve Akreditasyon Koordinatörlüğü</w:t>
            </w:r>
          </w:p>
        </w:tc>
        <w:tc>
          <w:tcPr>
            <w:tcW w:w="3020" w:type="dxa"/>
            <w:vAlign w:val="center"/>
          </w:tcPr>
          <w:p w:rsidR="00C543A4" w:rsidRPr="003458C1" w:rsidRDefault="00CA0959" w:rsidP="001E58FF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2024-2025 Eğitim Öğretim Yılı</w:t>
            </w:r>
          </w:p>
        </w:tc>
      </w:tr>
      <w:tr w:rsidR="0055494C" w:rsidRPr="003458C1" w:rsidTr="00BB4151">
        <w:trPr>
          <w:trHeight w:val="792"/>
        </w:trPr>
        <w:tc>
          <w:tcPr>
            <w:tcW w:w="10789" w:type="dxa"/>
            <w:gridSpan w:val="2"/>
            <w:vAlign w:val="center"/>
          </w:tcPr>
          <w:p w:rsidR="0055494C" w:rsidRDefault="0055494C" w:rsidP="003F73B6">
            <w:pPr>
              <w:ind w:right="180"/>
              <w:jc w:val="both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3</w:t>
            </w:r>
            <w:r w:rsidRPr="003458C1">
              <w:rPr>
                <w:b/>
                <w:sz w:val="21"/>
                <w:szCs w:val="21"/>
              </w:rPr>
              <w:t>-2024</w:t>
            </w:r>
            <w:r w:rsidR="004F2CC9"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>13</w:t>
            </w:r>
            <w:r w:rsidRPr="003458C1">
              <w:rPr>
                <w:b/>
                <w:sz w:val="21"/>
                <w:szCs w:val="21"/>
              </w:rPr>
              <w:t>:</w:t>
            </w:r>
            <w:r w:rsidRPr="003458C1">
              <w:rPr>
                <w:sz w:val="21"/>
                <w:szCs w:val="21"/>
              </w:rPr>
              <w:t xml:space="preserve"> </w:t>
            </w:r>
            <w:r w:rsidR="003F73B6" w:rsidRPr="003F73B6">
              <w:rPr>
                <w:sz w:val="21"/>
                <w:szCs w:val="21"/>
              </w:rPr>
              <w:t>IS</w:t>
            </w:r>
            <w:r w:rsidRPr="003F73B6">
              <w:rPr>
                <w:sz w:val="21"/>
                <w:szCs w:val="21"/>
              </w:rPr>
              <w:t>O 9001:2015 Kalite Yönetim Sistemi ve ISO 27001:2022 Bilgi Güvenliği Yönetim Sistemi kapsamında çalışmalara</w:t>
            </w:r>
            <w:r w:rsidR="003B0B31">
              <w:rPr>
                <w:sz w:val="21"/>
                <w:szCs w:val="21"/>
              </w:rPr>
              <w:t xml:space="preserve"> ve iç tetkiklere</w:t>
            </w:r>
            <w:r w:rsidR="003F73B6" w:rsidRPr="003F73B6">
              <w:rPr>
                <w:sz w:val="21"/>
                <w:szCs w:val="21"/>
              </w:rPr>
              <w:t xml:space="preserve"> ara vermeksizin devam edilmesi </w:t>
            </w:r>
            <w:r w:rsidR="003F73B6" w:rsidRPr="003458C1">
              <w:rPr>
                <w:sz w:val="21"/>
                <w:szCs w:val="21"/>
              </w:rPr>
              <w:t>kararlaştırılmıştır.</w:t>
            </w:r>
          </w:p>
        </w:tc>
      </w:tr>
      <w:tr w:rsidR="003F73B6" w:rsidRPr="003458C1" w:rsidTr="00A76566">
        <w:trPr>
          <w:trHeight w:val="421"/>
        </w:trPr>
        <w:tc>
          <w:tcPr>
            <w:tcW w:w="7769" w:type="dxa"/>
            <w:vAlign w:val="center"/>
          </w:tcPr>
          <w:p w:rsidR="003F73B6" w:rsidRPr="003458C1" w:rsidRDefault="003F73B6" w:rsidP="00547D1C">
            <w:pPr>
              <w:ind w:left="113" w:right="181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SORUMLULAR</w:t>
            </w:r>
          </w:p>
        </w:tc>
        <w:tc>
          <w:tcPr>
            <w:tcW w:w="3020" w:type="dxa"/>
            <w:vAlign w:val="center"/>
          </w:tcPr>
          <w:p w:rsidR="003F73B6" w:rsidRPr="003458C1" w:rsidRDefault="003F73B6" w:rsidP="00547D1C">
            <w:pPr>
              <w:ind w:right="180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PLANLANAN TARİH</w:t>
            </w:r>
          </w:p>
        </w:tc>
      </w:tr>
      <w:tr w:rsidR="003F73B6" w:rsidRPr="003458C1" w:rsidTr="00FE38B7">
        <w:trPr>
          <w:trHeight w:val="792"/>
        </w:trPr>
        <w:tc>
          <w:tcPr>
            <w:tcW w:w="7769" w:type="dxa"/>
            <w:vAlign w:val="center"/>
          </w:tcPr>
          <w:p w:rsidR="003F73B6" w:rsidRPr="003458C1" w:rsidRDefault="003F73B6" w:rsidP="00547D1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Rektörlük</w:t>
            </w:r>
          </w:p>
          <w:p w:rsidR="003F73B6" w:rsidRDefault="003F73B6" w:rsidP="00547D1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Kalite Komisyonu</w:t>
            </w:r>
          </w:p>
          <w:p w:rsidR="003F73B6" w:rsidRPr="003458C1" w:rsidRDefault="003F73B6" w:rsidP="00547D1C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Kalite Güvencesi ve Akreditasyon Koordinatörlüğü</w:t>
            </w:r>
          </w:p>
        </w:tc>
        <w:tc>
          <w:tcPr>
            <w:tcW w:w="3020" w:type="dxa"/>
            <w:vAlign w:val="center"/>
          </w:tcPr>
          <w:p w:rsidR="003F73B6" w:rsidRPr="003458C1" w:rsidRDefault="003F73B6" w:rsidP="00547D1C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2024-2025 Eğitim Öğretim Yılı</w:t>
            </w:r>
          </w:p>
        </w:tc>
      </w:tr>
      <w:tr w:rsidR="003F73B6" w:rsidRPr="003458C1" w:rsidTr="007F6610">
        <w:trPr>
          <w:trHeight w:val="792"/>
        </w:trPr>
        <w:tc>
          <w:tcPr>
            <w:tcW w:w="10789" w:type="dxa"/>
            <w:gridSpan w:val="2"/>
            <w:vAlign w:val="center"/>
          </w:tcPr>
          <w:p w:rsidR="003F73B6" w:rsidRPr="003458C1" w:rsidRDefault="003F73B6" w:rsidP="003F73B6">
            <w:pPr>
              <w:ind w:left="113" w:right="113"/>
              <w:jc w:val="both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3</w:t>
            </w:r>
            <w:r w:rsidRPr="003458C1">
              <w:rPr>
                <w:b/>
                <w:sz w:val="21"/>
                <w:szCs w:val="21"/>
              </w:rPr>
              <w:t>-2024</w:t>
            </w:r>
            <w:r w:rsidR="004F2CC9">
              <w:rPr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>14</w:t>
            </w:r>
            <w:r w:rsidRPr="003458C1">
              <w:rPr>
                <w:b/>
                <w:sz w:val="21"/>
                <w:szCs w:val="21"/>
              </w:rPr>
              <w:t>:</w:t>
            </w:r>
            <w:r w:rsidRPr="003458C1">
              <w:rPr>
                <w:sz w:val="21"/>
                <w:szCs w:val="21"/>
              </w:rPr>
              <w:t xml:space="preserve"> Üniversitemizde yürütülen kalite güvencesi ve akreditasyon çalışmalarına istikrarlı bir şekilde devam edilmesine karar verilmiştir.</w:t>
            </w:r>
          </w:p>
        </w:tc>
      </w:tr>
      <w:tr w:rsidR="003F73B6" w:rsidRPr="003458C1" w:rsidTr="00A64F46">
        <w:trPr>
          <w:trHeight w:val="460"/>
        </w:trPr>
        <w:tc>
          <w:tcPr>
            <w:tcW w:w="7769" w:type="dxa"/>
            <w:vAlign w:val="center"/>
          </w:tcPr>
          <w:p w:rsidR="003F73B6" w:rsidRPr="003458C1" w:rsidRDefault="003F73B6" w:rsidP="00643219">
            <w:pPr>
              <w:ind w:left="113" w:right="181"/>
              <w:rPr>
                <w:b/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SORUMLULAR</w:t>
            </w:r>
          </w:p>
        </w:tc>
        <w:tc>
          <w:tcPr>
            <w:tcW w:w="3020" w:type="dxa"/>
            <w:vAlign w:val="center"/>
          </w:tcPr>
          <w:p w:rsidR="003F73B6" w:rsidRPr="003458C1" w:rsidRDefault="003F73B6" w:rsidP="00643219">
            <w:pPr>
              <w:ind w:right="180"/>
              <w:rPr>
                <w:sz w:val="21"/>
                <w:szCs w:val="21"/>
              </w:rPr>
            </w:pPr>
            <w:r w:rsidRPr="003458C1">
              <w:rPr>
                <w:b/>
                <w:sz w:val="21"/>
                <w:szCs w:val="21"/>
              </w:rPr>
              <w:t>PLANLANAN TARİH</w:t>
            </w:r>
          </w:p>
        </w:tc>
      </w:tr>
      <w:tr w:rsidR="003F73B6" w:rsidRPr="003458C1" w:rsidTr="00FE38B7">
        <w:trPr>
          <w:trHeight w:val="792"/>
        </w:trPr>
        <w:tc>
          <w:tcPr>
            <w:tcW w:w="7769" w:type="dxa"/>
            <w:vAlign w:val="center"/>
          </w:tcPr>
          <w:p w:rsidR="003F73B6" w:rsidRPr="003458C1" w:rsidRDefault="003F73B6" w:rsidP="0025612A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3458C1">
              <w:rPr>
                <w:sz w:val="21"/>
                <w:szCs w:val="21"/>
              </w:rPr>
              <w:t>Rektörlük</w:t>
            </w:r>
          </w:p>
          <w:p w:rsidR="003F73B6" w:rsidRPr="003458C1" w:rsidRDefault="003F73B6" w:rsidP="00A64F46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3458C1">
              <w:rPr>
                <w:sz w:val="21"/>
                <w:szCs w:val="21"/>
              </w:rPr>
              <w:t>Kalite Komisyonu</w:t>
            </w:r>
          </w:p>
          <w:p w:rsidR="003F73B6" w:rsidRPr="003458C1" w:rsidRDefault="003F73B6" w:rsidP="00A64F46">
            <w:pPr>
              <w:ind w:right="180"/>
              <w:rPr>
                <w:sz w:val="21"/>
                <w:szCs w:val="21"/>
              </w:rPr>
            </w:pPr>
            <w:r w:rsidRPr="003458C1">
              <w:rPr>
                <w:sz w:val="21"/>
                <w:szCs w:val="21"/>
              </w:rPr>
              <w:t>- Kalite Güvencesi ve Akreditasyon Koordinatörlüğü</w:t>
            </w:r>
          </w:p>
        </w:tc>
        <w:tc>
          <w:tcPr>
            <w:tcW w:w="3020" w:type="dxa"/>
            <w:vAlign w:val="center"/>
          </w:tcPr>
          <w:p w:rsidR="003F73B6" w:rsidRPr="003458C1" w:rsidRDefault="003F73B6" w:rsidP="00A64F46">
            <w:pPr>
              <w:ind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2024-2025 Eğitim Öğretim Yılı</w:t>
            </w:r>
          </w:p>
        </w:tc>
      </w:tr>
    </w:tbl>
    <w:p w:rsidR="006F09C1" w:rsidRPr="003458C1" w:rsidRDefault="006F09C1" w:rsidP="005B29BE">
      <w:pPr>
        <w:rPr>
          <w:sz w:val="21"/>
          <w:szCs w:val="21"/>
        </w:rPr>
      </w:pPr>
    </w:p>
    <w:sectPr w:rsidR="006F09C1" w:rsidRPr="003458C1" w:rsidSect="00890CF9">
      <w:headerReference w:type="default" r:id="rId7"/>
      <w:footerReference w:type="default" r:id="rId8"/>
      <w:pgSz w:w="11906" w:h="16838" w:code="9"/>
      <w:pgMar w:top="1560" w:right="851" w:bottom="0" w:left="851" w:header="568" w:footer="1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5BD" w:rsidRDefault="00AF25BD">
      <w:r>
        <w:separator/>
      </w:r>
    </w:p>
  </w:endnote>
  <w:endnote w:type="continuationSeparator" w:id="0">
    <w:p w:rsidR="00AF25BD" w:rsidRDefault="00AF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589"/>
      <w:gridCol w:w="3538"/>
      <w:gridCol w:w="3660"/>
    </w:tblGrid>
    <w:tr w:rsidR="0010765D" w:rsidRPr="00330F64" w:rsidTr="00CB3073">
      <w:trPr>
        <w:trHeight w:val="555"/>
      </w:trPr>
      <w:tc>
        <w:tcPr>
          <w:tcW w:w="3589" w:type="dxa"/>
          <w:shd w:val="clear" w:color="auto" w:fill="auto"/>
        </w:tcPr>
        <w:p w:rsidR="0010765D" w:rsidRPr="00330F64" w:rsidRDefault="0010765D" w:rsidP="00352E94">
          <w:pPr>
            <w:pStyle w:val="Altbilgi"/>
            <w:jc w:val="center"/>
            <w:rPr>
              <w:sz w:val="20"/>
            </w:rPr>
          </w:pPr>
          <w:r w:rsidRPr="00330F64">
            <w:rPr>
              <w:sz w:val="20"/>
            </w:rPr>
            <w:t>Hazırlayan</w:t>
          </w:r>
        </w:p>
      </w:tc>
      <w:tc>
        <w:tcPr>
          <w:tcW w:w="3538" w:type="dxa"/>
          <w:shd w:val="clear" w:color="auto" w:fill="auto"/>
        </w:tcPr>
        <w:p w:rsidR="0010765D" w:rsidRPr="00330F64" w:rsidRDefault="0010765D" w:rsidP="00352E94">
          <w:pPr>
            <w:pStyle w:val="Altbilgi"/>
            <w:jc w:val="center"/>
            <w:rPr>
              <w:sz w:val="20"/>
            </w:rPr>
          </w:pPr>
        </w:p>
      </w:tc>
      <w:tc>
        <w:tcPr>
          <w:tcW w:w="3660" w:type="dxa"/>
          <w:shd w:val="clear" w:color="auto" w:fill="auto"/>
        </w:tcPr>
        <w:p w:rsidR="0010765D" w:rsidRPr="00330F64" w:rsidRDefault="0010765D" w:rsidP="00352E94">
          <w:pPr>
            <w:pStyle w:val="Altbilgi"/>
            <w:jc w:val="center"/>
            <w:rPr>
              <w:sz w:val="20"/>
            </w:rPr>
          </w:pPr>
          <w:r w:rsidRPr="00330F64">
            <w:rPr>
              <w:sz w:val="20"/>
            </w:rPr>
            <w:t>Kalite Sistem Onayı</w:t>
          </w:r>
        </w:p>
      </w:tc>
    </w:tr>
  </w:tbl>
  <w:p w:rsidR="0010765D" w:rsidRDefault="0010765D" w:rsidP="007133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5BD" w:rsidRDefault="00AF25BD">
      <w:r>
        <w:separator/>
      </w:r>
    </w:p>
  </w:footnote>
  <w:footnote w:type="continuationSeparator" w:id="0">
    <w:p w:rsidR="00AF25BD" w:rsidRDefault="00AF2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361"/>
      <w:gridCol w:w="6255"/>
      <w:gridCol w:w="1951"/>
      <w:gridCol w:w="1207"/>
    </w:tblGrid>
    <w:tr w:rsidR="0010765D" w:rsidRPr="00151E02" w:rsidTr="0095407B">
      <w:trPr>
        <w:trHeight w:val="279"/>
      </w:trPr>
      <w:tc>
        <w:tcPr>
          <w:tcW w:w="1361" w:type="dxa"/>
          <w:vMerge w:val="restart"/>
          <w:vAlign w:val="center"/>
        </w:tcPr>
        <w:p w:rsidR="0010765D" w:rsidRPr="00FD0360" w:rsidRDefault="00656DEC" w:rsidP="00352E94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eastAsia="Calibri" w:hAnsi="Arial" w:cs="Arial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137795</wp:posOffset>
                </wp:positionV>
                <wp:extent cx="720090" cy="565150"/>
                <wp:effectExtent l="19050" t="0" r="3810" b="0"/>
                <wp:wrapNone/>
                <wp:docPr id="13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5" w:type="dxa"/>
          <w:vMerge w:val="restart"/>
          <w:vAlign w:val="center"/>
        </w:tcPr>
        <w:p w:rsidR="0010765D" w:rsidRPr="00D72B89" w:rsidRDefault="0010765D" w:rsidP="00600E43">
          <w:pPr>
            <w:pStyle w:val="stbilgi"/>
            <w:jc w:val="center"/>
            <w:rPr>
              <w:b/>
            </w:rPr>
          </w:pPr>
          <w:r>
            <w:rPr>
              <w:b/>
              <w:bCs/>
              <w:color w:val="000000"/>
            </w:rPr>
            <w:t xml:space="preserve">YÖNETİM GÖZDEN GEÇİRME TOPLANTI TUTANAK </w:t>
          </w:r>
          <w:r w:rsidRPr="00D72B89">
            <w:rPr>
              <w:b/>
              <w:bCs/>
              <w:color w:val="000000"/>
            </w:rPr>
            <w:t>FORMU</w:t>
          </w:r>
        </w:p>
      </w:tc>
      <w:tc>
        <w:tcPr>
          <w:tcW w:w="1951" w:type="dxa"/>
          <w:vAlign w:val="center"/>
        </w:tcPr>
        <w:p w:rsidR="0010765D" w:rsidRPr="00330F64" w:rsidRDefault="0010765D" w:rsidP="00352E94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Doküman No</w:t>
          </w:r>
        </w:p>
      </w:tc>
      <w:tc>
        <w:tcPr>
          <w:tcW w:w="1207" w:type="dxa"/>
          <w:vAlign w:val="center"/>
        </w:tcPr>
        <w:p w:rsidR="0010765D" w:rsidRPr="0095407B" w:rsidRDefault="0010765D" w:rsidP="000B31A1">
          <w:pPr>
            <w:pStyle w:val="stbilgi"/>
            <w:rPr>
              <w:sz w:val="18"/>
            </w:rPr>
          </w:pPr>
          <w:r>
            <w:rPr>
              <w:sz w:val="18"/>
            </w:rPr>
            <w:t>FR-166</w:t>
          </w:r>
        </w:p>
      </w:tc>
    </w:tr>
    <w:tr w:rsidR="0010765D" w:rsidRPr="00151E02" w:rsidTr="0095407B">
      <w:trPr>
        <w:trHeight w:val="279"/>
      </w:trPr>
      <w:tc>
        <w:tcPr>
          <w:tcW w:w="1361" w:type="dxa"/>
          <w:vMerge/>
          <w:vAlign w:val="center"/>
        </w:tcPr>
        <w:p w:rsidR="0010765D" w:rsidRPr="00FD0360" w:rsidRDefault="0010765D" w:rsidP="00352E9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255" w:type="dxa"/>
          <w:vMerge/>
          <w:vAlign w:val="center"/>
        </w:tcPr>
        <w:p w:rsidR="0010765D" w:rsidRPr="00373438" w:rsidRDefault="0010765D" w:rsidP="00352E94">
          <w:pPr>
            <w:pStyle w:val="stbilgi"/>
            <w:jc w:val="center"/>
          </w:pPr>
        </w:p>
      </w:tc>
      <w:tc>
        <w:tcPr>
          <w:tcW w:w="1951" w:type="dxa"/>
          <w:vAlign w:val="center"/>
        </w:tcPr>
        <w:p w:rsidR="0010765D" w:rsidRPr="00330F64" w:rsidRDefault="0010765D" w:rsidP="00352E94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İlk Yayın Tarihi</w:t>
          </w:r>
        </w:p>
      </w:tc>
      <w:tc>
        <w:tcPr>
          <w:tcW w:w="1207" w:type="dxa"/>
          <w:vAlign w:val="center"/>
        </w:tcPr>
        <w:p w:rsidR="0010765D" w:rsidRPr="00384C31" w:rsidRDefault="0010765D" w:rsidP="000B31A1">
          <w:pPr>
            <w:pStyle w:val="stbilgi"/>
            <w:rPr>
              <w:sz w:val="18"/>
            </w:rPr>
          </w:pPr>
          <w:r w:rsidRPr="00384C31">
            <w:rPr>
              <w:sz w:val="18"/>
            </w:rPr>
            <w:t>05.02.2018</w:t>
          </w:r>
        </w:p>
      </w:tc>
    </w:tr>
    <w:tr w:rsidR="0010765D" w:rsidRPr="00151E02" w:rsidTr="0095407B">
      <w:trPr>
        <w:trHeight w:val="251"/>
      </w:trPr>
      <w:tc>
        <w:tcPr>
          <w:tcW w:w="1361" w:type="dxa"/>
          <w:vMerge/>
          <w:vAlign w:val="center"/>
        </w:tcPr>
        <w:p w:rsidR="0010765D" w:rsidRPr="00FD0360" w:rsidRDefault="0010765D" w:rsidP="00352E9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255" w:type="dxa"/>
          <w:vMerge/>
          <w:vAlign w:val="center"/>
        </w:tcPr>
        <w:p w:rsidR="0010765D" w:rsidRPr="00373438" w:rsidRDefault="0010765D" w:rsidP="00352E94">
          <w:pPr>
            <w:pStyle w:val="stbilgi"/>
            <w:jc w:val="center"/>
          </w:pPr>
        </w:p>
      </w:tc>
      <w:tc>
        <w:tcPr>
          <w:tcW w:w="1951" w:type="dxa"/>
          <w:vAlign w:val="center"/>
        </w:tcPr>
        <w:p w:rsidR="0010765D" w:rsidRPr="00330F64" w:rsidRDefault="0010765D" w:rsidP="00352E94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Tarihi</w:t>
          </w:r>
        </w:p>
      </w:tc>
      <w:tc>
        <w:tcPr>
          <w:tcW w:w="1207" w:type="dxa"/>
          <w:vAlign w:val="center"/>
        </w:tcPr>
        <w:p w:rsidR="0010765D" w:rsidRPr="00384C31" w:rsidRDefault="0010765D" w:rsidP="000B31A1">
          <w:pPr>
            <w:pStyle w:val="stbilgi"/>
            <w:rPr>
              <w:sz w:val="18"/>
            </w:rPr>
          </w:pPr>
        </w:p>
      </w:tc>
    </w:tr>
    <w:tr w:rsidR="0010765D" w:rsidRPr="00151E02" w:rsidTr="0095407B">
      <w:trPr>
        <w:trHeight w:val="279"/>
      </w:trPr>
      <w:tc>
        <w:tcPr>
          <w:tcW w:w="1361" w:type="dxa"/>
          <w:vMerge/>
          <w:vAlign w:val="center"/>
        </w:tcPr>
        <w:p w:rsidR="0010765D" w:rsidRPr="00FD0360" w:rsidRDefault="0010765D" w:rsidP="00352E9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255" w:type="dxa"/>
          <w:vMerge/>
          <w:vAlign w:val="center"/>
        </w:tcPr>
        <w:p w:rsidR="0010765D" w:rsidRPr="00373438" w:rsidRDefault="0010765D" w:rsidP="00352E94">
          <w:pPr>
            <w:pStyle w:val="stbilgi"/>
            <w:jc w:val="center"/>
          </w:pPr>
        </w:p>
      </w:tc>
      <w:tc>
        <w:tcPr>
          <w:tcW w:w="1951" w:type="dxa"/>
          <w:vAlign w:val="center"/>
        </w:tcPr>
        <w:p w:rsidR="0010765D" w:rsidRPr="00330F64" w:rsidRDefault="0010765D" w:rsidP="00352E94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No</w:t>
          </w:r>
        </w:p>
      </w:tc>
      <w:tc>
        <w:tcPr>
          <w:tcW w:w="1207" w:type="dxa"/>
          <w:vAlign w:val="center"/>
        </w:tcPr>
        <w:p w:rsidR="0010765D" w:rsidRPr="00384C31" w:rsidRDefault="0010765D" w:rsidP="000B31A1">
          <w:pPr>
            <w:pStyle w:val="stbilgi"/>
            <w:rPr>
              <w:sz w:val="18"/>
            </w:rPr>
          </w:pPr>
          <w:r w:rsidRPr="00384C31">
            <w:rPr>
              <w:sz w:val="18"/>
            </w:rPr>
            <w:t>00</w:t>
          </w:r>
        </w:p>
      </w:tc>
    </w:tr>
    <w:tr w:rsidR="003413CC" w:rsidRPr="00151E02" w:rsidTr="0095407B">
      <w:trPr>
        <w:trHeight w:val="69"/>
      </w:trPr>
      <w:tc>
        <w:tcPr>
          <w:tcW w:w="1361" w:type="dxa"/>
          <w:vMerge/>
          <w:vAlign w:val="center"/>
        </w:tcPr>
        <w:p w:rsidR="003413CC" w:rsidRPr="00FD0360" w:rsidRDefault="003413CC" w:rsidP="003413C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255" w:type="dxa"/>
          <w:vMerge/>
          <w:vAlign w:val="center"/>
        </w:tcPr>
        <w:p w:rsidR="003413CC" w:rsidRPr="00373438" w:rsidRDefault="003413CC" w:rsidP="003413CC">
          <w:pPr>
            <w:pStyle w:val="stbilgi"/>
            <w:jc w:val="center"/>
          </w:pPr>
        </w:p>
      </w:tc>
      <w:tc>
        <w:tcPr>
          <w:tcW w:w="1951" w:type="dxa"/>
          <w:vAlign w:val="center"/>
        </w:tcPr>
        <w:p w:rsidR="003413CC" w:rsidRPr="00330F64" w:rsidRDefault="003413CC" w:rsidP="003413C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Sayfa</w:t>
          </w:r>
          <w:r>
            <w:rPr>
              <w:sz w:val="20"/>
              <w:szCs w:val="20"/>
            </w:rPr>
            <w:t xml:space="preserve"> No</w:t>
          </w:r>
        </w:p>
      </w:tc>
      <w:tc>
        <w:tcPr>
          <w:tcW w:w="1207" w:type="dxa"/>
          <w:vAlign w:val="center"/>
        </w:tcPr>
        <w:p w:rsidR="003413CC" w:rsidRPr="00A23D60" w:rsidRDefault="007F076B" w:rsidP="003413CC">
          <w:pPr>
            <w:pStyle w:val="stbilgi"/>
            <w:rPr>
              <w:sz w:val="18"/>
              <w:szCs w:val="18"/>
            </w:rPr>
          </w:pPr>
          <w:r w:rsidRPr="005C64E5">
            <w:rPr>
              <w:sz w:val="18"/>
              <w:szCs w:val="18"/>
            </w:rPr>
            <w:fldChar w:fldCharType="begin"/>
          </w:r>
          <w:r w:rsidR="003413CC" w:rsidRPr="005C64E5">
            <w:rPr>
              <w:sz w:val="18"/>
              <w:szCs w:val="18"/>
            </w:rPr>
            <w:instrText xml:space="preserve"> PAGE   \* MERGEFORMAT </w:instrText>
          </w:r>
          <w:r w:rsidRPr="005C64E5">
            <w:rPr>
              <w:sz w:val="18"/>
              <w:szCs w:val="18"/>
            </w:rPr>
            <w:fldChar w:fldCharType="separate"/>
          </w:r>
          <w:r w:rsidR="004F2CC9">
            <w:rPr>
              <w:noProof/>
              <w:sz w:val="18"/>
              <w:szCs w:val="18"/>
            </w:rPr>
            <w:t>2</w:t>
          </w:r>
          <w:r w:rsidRPr="005C64E5">
            <w:rPr>
              <w:sz w:val="18"/>
              <w:szCs w:val="18"/>
            </w:rPr>
            <w:fldChar w:fldCharType="end"/>
          </w:r>
          <w:r w:rsidR="003413CC" w:rsidRPr="00A23D60">
            <w:rPr>
              <w:sz w:val="18"/>
              <w:szCs w:val="18"/>
            </w:rPr>
            <w:t>/2</w:t>
          </w:r>
        </w:p>
      </w:tc>
    </w:tr>
  </w:tbl>
  <w:p w:rsidR="0010765D" w:rsidRDefault="0010765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AE8"/>
    <w:multiLevelType w:val="hybridMultilevel"/>
    <w:tmpl w:val="1832B8B0"/>
    <w:lvl w:ilvl="0" w:tplc="A6604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666"/>
    <w:multiLevelType w:val="hybridMultilevel"/>
    <w:tmpl w:val="1832B8B0"/>
    <w:lvl w:ilvl="0" w:tplc="A6604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4370F"/>
    <w:multiLevelType w:val="hybridMultilevel"/>
    <w:tmpl w:val="FCDE68C4"/>
    <w:lvl w:ilvl="0" w:tplc="1A1C00DA">
      <w:start w:val="2"/>
      <w:numFmt w:val="decimalZero"/>
      <w:lvlText w:val="%1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63FC"/>
    <w:multiLevelType w:val="hybridMultilevel"/>
    <w:tmpl w:val="1832B8B0"/>
    <w:lvl w:ilvl="0" w:tplc="A6604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20D1"/>
    <w:multiLevelType w:val="hybridMultilevel"/>
    <w:tmpl w:val="61AA2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E6618"/>
    <w:multiLevelType w:val="hybridMultilevel"/>
    <w:tmpl w:val="1832B8B0"/>
    <w:lvl w:ilvl="0" w:tplc="A6604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2C02"/>
    <w:multiLevelType w:val="hybridMultilevel"/>
    <w:tmpl w:val="EFBA40D4"/>
    <w:lvl w:ilvl="0" w:tplc="94ECAB3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72B0D"/>
    <w:multiLevelType w:val="multilevel"/>
    <w:tmpl w:val="A56C8C1E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i w:val="0"/>
        <w:u w:val="none"/>
      </w:rPr>
    </w:lvl>
    <w:lvl w:ilvl="2">
      <w:start w:val="1"/>
      <w:numFmt w:val="lowerLetter"/>
      <w:lvlText w:val="%3-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/>
        <w:b/>
        <w:u w:val="none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u w:val="none"/>
      </w:rPr>
    </w:lvl>
  </w:abstractNum>
  <w:abstractNum w:abstractNumId="8">
    <w:nsid w:val="64A72927"/>
    <w:multiLevelType w:val="hybridMultilevel"/>
    <w:tmpl w:val="1A4E7898"/>
    <w:lvl w:ilvl="0" w:tplc="052E2ABE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E1D"/>
    <w:multiLevelType w:val="hybridMultilevel"/>
    <w:tmpl w:val="1832B8B0"/>
    <w:lvl w:ilvl="0" w:tplc="A6604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745E4"/>
    <w:rsid w:val="00002533"/>
    <w:rsid w:val="00003C60"/>
    <w:rsid w:val="00017853"/>
    <w:rsid w:val="00025ADB"/>
    <w:rsid w:val="00040BD4"/>
    <w:rsid w:val="0005391C"/>
    <w:rsid w:val="00060478"/>
    <w:rsid w:val="00061089"/>
    <w:rsid w:val="0006171B"/>
    <w:rsid w:val="00070D6E"/>
    <w:rsid w:val="000841C3"/>
    <w:rsid w:val="000A22C5"/>
    <w:rsid w:val="000B31A1"/>
    <w:rsid w:val="000D12DE"/>
    <w:rsid w:val="000F06B9"/>
    <w:rsid w:val="0010420F"/>
    <w:rsid w:val="0010765D"/>
    <w:rsid w:val="00117709"/>
    <w:rsid w:val="00117D71"/>
    <w:rsid w:val="00122B62"/>
    <w:rsid w:val="00124942"/>
    <w:rsid w:val="00136A2B"/>
    <w:rsid w:val="00172F94"/>
    <w:rsid w:val="00185774"/>
    <w:rsid w:val="001A435D"/>
    <w:rsid w:val="001A6EA3"/>
    <w:rsid w:val="001D1A2F"/>
    <w:rsid w:val="001E58FF"/>
    <w:rsid w:val="001F2647"/>
    <w:rsid w:val="001F5A39"/>
    <w:rsid w:val="00205D4E"/>
    <w:rsid w:val="0023125F"/>
    <w:rsid w:val="0025612A"/>
    <w:rsid w:val="00260164"/>
    <w:rsid w:val="00267578"/>
    <w:rsid w:val="00287CD3"/>
    <w:rsid w:val="00291B78"/>
    <w:rsid w:val="002971B1"/>
    <w:rsid w:val="002A6DB9"/>
    <w:rsid w:val="002B5D61"/>
    <w:rsid w:val="002B6D3F"/>
    <w:rsid w:val="002C53D3"/>
    <w:rsid w:val="002E7512"/>
    <w:rsid w:val="003033A4"/>
    <w:rsid w:val="00334A90"/>
    <w:rsid w:val="003413CC"/>
    <w:rsid w:val="003458C1"/>
    <w:rsid w:val="00347438"/>
    <w:rsid w:val="00352E94"/>
    <w:rsid w:val="00354276"/>
    <w:rsid w:val="0036031D"/>
    <w:rsid w:val="00362F63"/>
    <w:rsid w:val="0037562C"/>
    <w:rsid w:val="003855BA"/>
    <w:rsid w:val="00394C0D"/>
    <w:rsid w:val="00395E12"/>
    <w:rsid w:val="003A6043"/>
    <w:rsid w:val="003B0B31"/>
    <w:rsid w:val="003B38BE"/>
    <w:rsid w:val="003B44E7"/>
    <w:rsid w:val="003B584B"/>
    <w:rsid w:val="003C1B4E"/>
    <w:rsid w:val="003C36B4"/>
    <w:rsid w:val="003E1D98"/>
    <w:rsid w:val="003E2EB1"/>
    <w:rsid w:val="003E5B33"/>
    <w:rsid w:val="003F4D16"/>
    <w:rsid w:val="003F73B6"/>
    <w:rsid w:val="00400AA6"/>
    <w:rsid w:val="00436CBE"/>
    <w:rsid w:val="00447BEC"/>
    <w:rsid w:val="00457435"/>
    <w:rsid w:val="004B411D"/>
    <w:rsid w:val="004B7271"/>
    <w:rsid w:val="004F2CC9"/>
    <w:rsid w:val="004F4FF5"/>
    <w:rsid w:val="004F6036"/>
    <w:rsid w:val="004F79D2"/>
    <w:rsid w:val="00504C10"/>
    <w:rsid w:val="00507114"/>
    <w:rsid w:val="00512B04"/>
    <w:rsid w:val="00515F80"/>
    <w:rsid w:val="00525861"/>
    <w:rsid w:val="00527BBE"/>
    <w:rsid w:val="00543C60"/>
    <w:rsid w:val="005464CE"/>
    <w:rsid w:val="00551C8B"/>
    <w:rsid w:val="00551CD5"/>
    <w:rsid w:val="0055494C"/>
    <w:rsid w:val="00581208"/>
    <w:rsid w:val="00583734"/>
    <w:rsid w:val="005B29BE"/>
    <w:rsid w:val="005B4188"/>
    <w:rsid w:val="005D1B92"/>
    <w:rsid w:val="005E1919"/>
    <w:rsid w:val="005F61AB"/>
    <w:rsid w:val="00600E43"/>
    <w:rsid w:val="00604D26"/>
    <w:rsid w:val="0061703F"/>
    <w:rsid w:val="00621977"/>
    <w:rsid w:val="00626688"/>
    <w:rsid w:val="00640FA0"/>
    <w:rsid w:val="006537B7"/>
    <w:rsid w:val="00656DEC"/>
    <w:rsid w:val="00660657"/>
    <w:rsid w:val="00681DCF"/>
    <w:rsid w:val="00682373"/>
    <w:rsid w:val="006A2039"/>
    <w:rsid w:val="006D114D"/>
    <w:rsid w:val="006D2BDB"/>
    <w:rsid w:val="006D4BD5"/>
    <w:rsid w:val="006F09C1"/>
    <w:rsid w:val="007005AF"/>
    <w:rsid w:val="0071198D"/>
    <w:rsid w:val="007133AE"/>
    <w:rsid w:val="00722362"/>
    <w:rsid w:val="00722C84"/>
    <w:rsid w:val="00750984"/>
    <w:rsid w:val="00750D9C"/>
    <w:rsid w:val="00782036"/>
    <w:rsid w:val="0078288C"/>
    <w:rsid w:val="0078289B"/>
    <w:rsid w:val="00792DFC"/>
    <w:rsid w:val="007A2CF6"/>
    <w:rsid w:val="007A3784"/>
    <w:rsid w:val="007B419D"/>
    <w:rsid w:val="007C0A0F"/>
    <w:rsid w:val="007C56C5"/>
    <w:rsid w:val="007F076B"/>
    <w:rsid w:val="007F55BC"/>
    <w:rsid w:val="0081111D"/>
    <w:rsid w:val="0082315E"/>
    <w:rsid w:val="0083192E"/>
    <w:rsid w:val="00834BFE"/>
    <w:rsid w:val="008352EB"/>
    <w:rsid w:val="00837F49"/>
    <w:rsid w:val="008576AB"/>
    <w:rsid w:val="00873186"/>
    <w:rsid w:val="00890CF9"/>
    <w:rsid w:val="008A732C"/>
    <w:rsid w:val="008B2B35"/>
    <w:rsid w:val="008B4624"/>
    <w:rsid w:val="008D79CC"/>
    <w:rsid w:val="008E2A9F"/>
    <w:rsid w:val="008E348B"/>
    <w:rsid w:val="008E4451"/>
    <w:rsid w:val="008E47FF"/>
    <w:rsid w:val="008F1E41"/>
    <w:rsid w:val="00916A26"/>
    <w:rsid w:val="009229A6"/>
    <w:rsid w:val="009244C7"/>
    <w:rsid w:val="0093471B"/>
    <w:rsid w:val="00941B0F"/>
    <w:rsid w:val="0095407B"/>
    <w:rsid w:val="0096399C"/>
    <w:rsid w:val="009649AF"/>
    <w:rsid w:val="00966E34"/>
    <w:rsid w:val="009728A4"/>
    <w:rsid w:val="009B6276"/>
    <w:rsid w:val="009C4C17"/>
    <w:rsid w:val="009D7262"/>
    <w:rsid w:val="009E0BC6"/>
    <w:rsid w:val="009F1FD9"/>
    <w:rsid w:val="00A1007F"/>
    <w:rsid w:val="00A10685"/>
    <w:rsid w:val="00A20566"/>
    <w:rsid w:val="00A41005"/>
    <w:rsid w:val="00A64F46"/>
    <w:rsid w:val="00A70C01"/>
    <w:rsid w:val="00A76566"/>
    <w:rsid w:val="00A8417E"/>
    <w:rsid w:val="00A968B5"/>
    <w:rsid w:val="00AC27EB"/>
    <w:rsid w:val="00AE2226"/>
    <w:rsid w:val="00AF1F92"/>
    <w:rsid w:val="00AF2255"/>
    <w:rsid w:val="00AF25BD"/>
    <w:rsid w:val="00B01CBF"/>
    <w:rsid w:val="00B051AE"/>
    <w:rsid w:val="00B06B8B"/>
    <w:rsid w:val="00B106FC"/>
    <w:rsid w:val="00B1446F"/>
    <w:rsid w:val="00B205EC"/>
    <w:rsid w:val="00B244B4"/>
    <w:rsid w:val="00B26B17"/>
    <w:rsid w:val="00B27E53"/>
    <w:rsid w:val="00B34328"/>
    <w:rsid w:val="00B51121"/>
    <w:rsid w:val="00B64902"/>
    <w:rsid w:val="00B745E4"/>
    <w:rsid w:val="00B77C61"/>
    <w:rsid w:val="00B834E3"/>
    <w:rsid w:val="00BA34C8"/>
    <w:rsid w:val="00BA47A8"/>
    <w:rsid w:val="00BC02C5"/>
    <w:rsid w:val="00BC1AE5"/>
    <w:rsid w:val="00BC4822"/>
    <w:rsid w:val="00BC4B30"/>
    <w:rsid w:val="00BC6C5F"/>
    <w:rsid w:val="00BD1417"/>
    <w:rsid w:val="00BF7514"/>
    <w:rsid w:val="00C0097D"/>
    <w:rsid w:val="00C02B68"/>
    <w:rsid w:val="00C25111"/>
    <w:rsid w:val="00C53CCA"/>
    <w:rsid w:val="00C543A4"/>
    <w:rsid w:val="00C662D2"/>
    <w:rsid w:val="00C72F6B"/>
    <w:rsid w:val="00CA0959"/>
    <w:rsid w:val="00CB3073"/>
    <w:rsid w:val="00CB3391"/>
    <w:rsid w:val="00CC4765"/>
    <w:rsid w:val="00CD1710"/>
    <w:rsid w:val="00CD5059"/>
    <w:rsid w:val="00CD610E"/>
    <w:rsid w:val="00CF1BAE"/>
    <w:rsid w:val="00D17E03"/>
    <w:rsid w:val="00D27DEB"/>
    <w:rsid w:val="00D3106F"/>
    <w:rsid w:val="00D40A57"/>
    <w:rsid w:val="00D40AAB"/>
    <w:rsid w:val="00D526E1"/>
    <w:rsid w:val="00D60BAB"/>
    <w:rsid w:val="00D62798"/>
    <w:rsid w:val="00D654AD"/>
    <w:rsid w:val="00D8403C"/>
    <w:rsid w:val="00D8658F"/>
    <w:rsid w:val="00D92FDD"/>
    <w:rsid w:val="00D96DC2"/>
    <w:rsid w:val="00DA1FB9"/>
    <w:rsid w:val="00DA515B"/>
    <w:rsid w:val="00DC145D"/>
    <w:rsid w:val="00DC1A3B"/>
    <w:rsid w:val="00DC3992"/>
    <w:rsid w:val="00DC6324"/>
    <w:rsid w:val="00DC70A4"/>
    <w:rsid w:val="00DD2244"/>
    <w:rsid w:val="00DF55BE"/>
    <w:rsid w:val="00DF6AA9"/>
    <w:rsid w:val="00E02B8F"/>
    <w:rsid w:val="00E12D1F"/>
    <w:rsid w:val="00E161B9"/>
    <w:rsid w:val="00E16260"/>
    <w:rsid w:val="00E22F14"/>
    <w:rsid w:val="00E32F0D"/>
    <w:rsid w:val="00E40AD6"/>
    <w:rsid w:val="00E509A1"/>
    <w:rsid w:val="00E52562"/>
    <w:rsid w:val="00E70AD3"/>
    <w:rsid w:val="00E73436"/>
    <w:rsid w:val="00E81711"/>
    <w:rsid w:val="00E848CA"/>
    <w:rsid w:val="00E8667D"/>
    <w:rsid w:val="00E945E9"/>
    <w:rsid w:val="00EA200C"/>
    <w:rsid w:val="00EB3110"/>
    <w:rsid w:val="00EB5DD8"/>
    <w:rsid w:val="00EC0021"/>
    <w:rsid w:val="00EC0771"/>
    <w:rsid w:val="00EE1E6C"/>
    <w:rsid w:val="00EE5E8F"/>
    <w:rsid w:val="00EF5E43"/>
    <w:rsid w:val="00EF687C"/>
    <w:rsid w:val="00F37170"/>
    <w:rsid w:val="00F51CF0"/>
    <w:rsid w:val="00F53D7F"/>
    <w:rsid w:val="00F545FE"/>
    <w:rsid w:val="00F60271"/>
    <w:rsid w:val="00F62DED"/>
    <w:rsid w:val="00F84BD9"/>
    <w:rsid w:val="00FB3BC8"/>
    <w:rsid w:val="00FC30E0"/>
    <w:rsid w:val="00FC37E1"/>
    <w:rsid w:val="00FC6268"/>
    <w:rsid w:val="00FE0153"/>
    <w:rsid w:val="00F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E34"/>
    <w:rPr>
      <w:sz w:val="24"/>
      <w:szCs w:val="24"/>
    </w:rPr>
  </w:style>
  <w:style w:type="paragraph" w:styleId="Balk9">
    <w:name w:val="heading 9"/>
    <w:basedOn w:val="Normal"/>
    <w:next w:val="Normal"/>
    <w:qFormat/>
    <w:rsid w:val="00966E34"/>
    <w:pPr>
      <w:keepNext/>
      <w:jc w:val="center"/>
      <w:outlineLvl w:val="8"/>
    </w:pPr>
    <w:rPr>
      <w:rFonts w:ascii="Tahoma" w:hAnsi="Tahoma" w:cs="Tahoma"/>
      <w:b/>
      <w:bCs/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66E3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966E3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F4FF5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525861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9E0BC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133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6E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TOPLANTI YERİ</vt:lpstr>
    </vt:vector>
  </TitlesOfParts>
  <Company>By NeC ® 2010 | Katilimsiz.Com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YERİ</dc:title>
  <dc:creator>ORKUN</dc:creator>
  <cp:lastModifiedBy>KMU</cp:lastModifiedBy>
  <cp:revision>23</cp:revision>
  <cp:lastPrinted>2019-06-27T13:17:00Z</cp:lastPrinted>
  <dcterms:created xsi:type="dcterms:W3CDTF">2024-09-06T12:22:00Z</dcterms:created>
  <dcterms:modified xsi:type="dcterms:W3CDTF">2024-09-24T11:24:00Z</dcterms:modified>
</cp:coreProperties>
</file>