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4C" w:rsidRDefault="001C354C" w:rsidP="001C354C">
      <w:pPr>
        <w:pStyle w:val="GvdeMetni"/>
        <w:spacing w:before="8"/>
        <w:rPr>
          <w:rFonts w:ascii="Trebuchet MS"/>
          <w:b/>
          <w:sz w:val="15"/>
        </w:rPr>
      </w:pPr>
    </w:p>
    <w:p w:rsidR="001C354C" w:rsidRDefault="001C354C" w:rsidP="001C354C">
      <w:pPr>
        <w:pStyle w:val="Heading3"/>
        <w:numPr>
          <w:ilvl w:val="0"/>
          <w:numId w:val="1"/>
        </w:numPr>
        <w:tabs>
          <w:tab w:val="left" w:pos="837"/>
        </w:tabs>
        <w:spacing w:before="90"/>
        <w:jc w:val="left"/>
      </w:pPr>
      <w:r>
        <w:t>LABORATUVAR KULLANIM</w:t>
      </w:r>
      <w:r>
        <w:rPr>
          <w:spacing w:val="-3"/>
        </w:rPr>
        <w:t xml:space="preserve"> </w:t>
      </w:r>
      <w:r>
        <w:t>TALİMATI</w:t>
      </w:r>
    </w:p>
    <w:p w:rsidR="001C354C" w:rsidRDefault="001C354C" w:rsidP="001C354C">
      <w:pPr>
        <w:pStyle w:val="ListeParagraf"/>
        <w:numPr>
          <w:ilvl w:val="1"/>
          <w:numId w:val="1"/>
        </w:numPr>
        <w:tabs>
          <w:tab w:val="left" w:pos="1532"/>
          <w:tab w:val="left" w:pos="1533"/>
        </w:tabs>
        <w:rPr>
          <w:b/>
          <w:sz w:val="24"/>
        </w:rPr>
      </w:pPr>
      <w:r>
        <w:rPr>
          <w:b/>
          <w:sz w:val="24"/>
        </w:rPr>
        <w:t>AMAÇ:</w:t>
      </w:r>
    </w:p>
    <w:p w:rsidR="001C354C" w:rsidRDefault="001C354C" w:rsidP="001C354C">
      <w:pPr>
        <w:pStyle w:val="GvdeMetni"/>
        <w:ind w:left="836" w:right="197"/>
        <w:jc w:val="both"/>
      </w:pPr>
      <w:proofErr w:type="gramStart"/>
      <w:r>
        <w:t xml:space="preserve">Bu </w:t>
      </w:r>
      <w:proofErr w:type="spellStart"/>
      <w:r>
        <w:t>talimat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İnşaat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Böülümü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yönetiminde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Laboratuvarının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kontrolünde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  <w:proofErr w:type="gramEnd"/>
    </w:p>
    <w:p w:rsidR="001C354C" w:rsidRDefault="001C354C" w:rsidP="001C354C">
      <w:pPr>
        <w:pStyle w:val="GvdeMetni"/>
      </w:pPr>
    </w:p>
    <w:p w:rsidR="001C354C" w:rsidRDefault="001C354C" w:rsidP="001C354C">
      <w:pPr>
        <w:pStyle w:val="Heading3"/>
        <w:numPr>
          <w:ilvl w:val="1"/>
          <w:numId w:val="1"/>
        </w:numPr>
        <w:tabs>
          <w:tab w:val="left" w:pos="1532"/>
          <w:tab w:val="left" w:pos="1533"/>
        </w:tabs>
      </w:pPr>
      <w:r>
        <w:t>KAPSAM:</w:t>
      </w:r>
    </w:p>
    <w:p w:rsidR="001C354C" w:rsidRDefault="001C354C" w:rsidP="001C354C">
      <w:pPr>
        <w:pStyle w:val="GvdeMetni"/>
        <w:ind w:left="836"/>
      </w:pPr>
      <w:proofErr w:type="gramStart"/>
      <w:r>
        <w:t xml:space="preserve">Bu </w:t>
      </w:r>
      <w:proofErr w:type="spellStart"/>
      <w:r>
        <w:t>talimat</w:t>
      </w:r>
      <w:proofErr w:type="spellEnd"/>
      <w:r>
        <w:t xml:space="preserve">, </w:t>
      </w:r>
      <w:proofErr w:type="spellStart"/>
      <w:r>
        <w:t>Karamanoğlu</w:t>
      </w:r>
      <w:proofErr w:type="spellEnd"/>
      <w:r>
        <w:t xml:space="preserve"> </w:t>
      </w:r>
      <w:proofErr w:type="spellStart"/>
      <w:r>
        <w:t>Mehmetbey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, </w:t>
      </w:r>
      <w:proofErr w:type="spellStart"/>
      <w:r>
        <w:t>İnşaat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,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Laboratuvarını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>.</w:t>
      </w:r>
      <w:proofErr w:type="gramEnd"/>
    </w:p>
    <w:p w:rsidR="001C354C" w:rsidRDefault="001C354C" w:rsidP="001C354C">
      <w:pPr>
        <w:pStyle w:val="GvdeMetni"/>
        <w:spacing w:before="1"/>
      </w:pPr>
    </w:p>
    <w:p w:rsidR="001C354C" w:rsidRDefault="001C354C" w:rsidP="001C354C">
      <w:pPr>
        <w:pStyle w:val="Heading3"/>
        <w:numPr>
          <w:ilvl w:val="1"/>
          <w:numId w:val="1"/>
        </w:numPr>
        <w:tabs>
          <w:tab w:val="left" w:pos="1533"/>
        </w:tabs>
        <w:jc w:val="both"/>
      </w:pPr>
      <w:r>
        <w:t>SORUMLULAR:</w:t>
      </w:r>
    </w:p>
    <w:p w:rsidR="001C354C" w:rsidRDefault="001C354C" w:rsidP="001C354C">
      <w:pPr>
        <w:pStyle w:val="GvdeMetni"/>
        <w:ind w:left="836"/>
        <w:jc w:val="both"/>
      </w:pPr>
      <w:proofErr w:type="spellStart"/>
      <w:proofErr w:type="gramStart"/>
      <w:r>
        <w:t>Yrd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Doç</w:t>
      </w:r>
      <w:proofErr w:type="spellEnd"/>
      <w:r>
        <w:t>.</w:t>
      </w:r>
      <w:proofErr w:type="gramEnd"/>
      <w:r>
        <w:t xml:space="preserve"> Dr. </w:t>
      </w:r>
      <w:proofErr w:type="spellStart"/>
      <w:r>
        <w:t>Serdar</w:t>
      </w:r>
      <w:proofErr w:type="spellEnd"/>
      <w:r>
        <w:t xml:space="preserve"> ÇARBAŞ, </w:t>
      </w:r>
      <w:proofErr w:type="spellStart"/>
      <w:r>
        <w:t>Arş</w:t>
      </w:r>
      <w:proofErr w:type="spellEnd"/>
      <w:r>
        <w:t xml:space="preserve">.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Osman</w:t>
      </w:r>
      <w:proofErr w:type="spellEnd"/>
      <w:r>
        <w:t xml:space="preserve"> TUNCA</w:t>
      </w:r>
    </w:p>
    <w:p w:rsidR="001C354C" w:rsidRDefault="001C354C" w:rsidP="001C354C">
      <w:pPr>
        <w:pStyle w:val="GvdeMetni"/>
      </w:pPr>
    </w:p>
    <w:p w:rsidR="001C354C" w:rsidRDefault="001C354C" w:rsidP="001C354C">
      <w:pPr>
        <w:pStyle w:val="Heading3"/>
        <w:numPr>
          <w:ilvl w:val="1"/>
          <w:numId w:val="1"/>
        </w:numPr>
        <w:tabs>
          <w:tab w:val="left" w:pos="1533"/>
        </w:tabs>
        <w:jc w:val="both"/>
      </w:pPr>
      <w:r>
        <w:t>KURALLAR</w:t>
      </w:r>
    </w:p>
    <w:p w:rsidR="001C354C" w:rsidRDefault="001C354C" w:rsidP="001C354C">
      <w:pPr>
        <w:pStyle w:val="GvdeMetni"/>
        <w:spacing w:before="11"/>
        <w:rPr>
          <w:b/>
          <w:sz w:val="23"/>
        </w:rPr>
      </w:pPr>
    </w:p>
    <w:p w:rsidR="001C354C" w:rsidRDefault="001C354C" w:rsidP="001C354C">
      <w:pPr>
        <w:pStyle w:val="ListeParagraf"/>
        <w:numPr>
          <w:ilvl w:val="2"/>
          <w:numId w:val="1"/>
        </w:numPr>
        <w:tabs>
          <w:tab w:val="left" w:pos="1749"/>
        </w:tabs>
        <w:ind w:left="1748" w:hanging="552"/>
        <w:rPr>
          <w:b/>
        </w:rPr>
      </w:pPr>
      <w:r>
        <w:rPr>
          <w:b/>
        </w:rPr>
        <w:t>ERİŞİM</w:t>
      </w:r>
    </w:p>
    <w:p w:rsidR="001C354C" w:rsidRDefault="001C354C" w:rsidP="001C354C">
      <w:pPr>
        <w:pStyle w:val="GvdeMetni"/>
        <w:spacing w:before="2"/>
        <w:rPr>
          <w:b/>
        </w:rPr>
      </w:pPr>
    </w:p>
    <w:p w:rsidR="001C354C" w:rsidRDefault="001C354C" w:rsidP="001C354C">
      <w:pPr>
        <w:pStyle w:val="ListeParagraf"/>
        <w:numPr>
          <w:ilvl w:val="3"/>
          <w:numId w:val="2"/>
        </w:numPr>
        <w:tabs>
          <w:tab w:val="left" w:pos="830"/>
        </w:tabs>
        <w:spacing w:line="475" w:lineRule="auto"/>
        <w:ind w:left="829" w:right="195" w:hanging="355"/>
        <w:jc w:val="both"/>
        <w:rPr>
          <w:sz w:val="24"/>
        </w:rPr>
      </w:pP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tehlike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etmektedir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Laboratuvar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engellenmesi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kilitli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tutulmalı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>.</w:t>
      </w:r>
    </w:p>
    <w:p w:rsidR="001C354C" w:rsidRDefault="001C354C" w:rsidP="001C354C">
      <w:pPr>
        <w:pStyle w:val="ListeParagraf"/>
        <w:numPr>
          <w:ilvl w:val="3"/>
          <w:numId w:val="2"/>
        </w:numPr>
        <w:tabs>
          <w:tab w:val="left" w:pos="830"/>
        </w:tabs>
        <w:spacing w:before="3" w:line="475" w:lineRule="auto"/>
        <w:ind w:left="829" w:right="194" w:hanging="355"/>
        <w:jc w:val="both"/>
        <w:rPr>
          <w:sz w:val="24"/>
        </w:rPr>
      </w:pP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onarım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ayakkabı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giymesi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gereklidir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Kaynak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maskesi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koruyucu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koruyucu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elbiseler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niteliğine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kullanılmalıdır</w:t>
      </w:r>
      <w:proofErr w:type="spellEnd"/>
      <w:r>
        <w:rPr>
          <w:sz w:val="24"/>
        </w:rPr>
        <w:t>.</w:t>
      </w:r>
    </w:p>
    <w:p w:rsidR="001C354C" w:rsidRDefault="001C354C" w:rsidP="001C354C">
      <w:pPr>
        <w:pStyle w:val="ListeParagraf"/>
        <w:numPr>
          <w:ilvl w:val="3"/>
          <w:numId w:val="2"/>
        </w:numPr>
        <w:tabs>
          <w:tab w:val="left" w:pos="830"/>
        </w:tabs>
        <w:spacing w:before="4" w:line="463" w:lineRule="auto"/>
        <w:ind w:left="829" w:right="198" w:hanging="355"/>
        <w:jc w:val="both"/>
        <w:rPr>
          <w:sz w:val="24"/>
        </w:rPr>
      </w:pPr>
      <w:proofErr w:type="spellStart"/>
      <w:r>
        <w:rPr>
          <w:sz w:val="24"/>
        </w:rPr>
        <w:t>Laboratuvarda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içeren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türlü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ekipmana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erişim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kullanıcısı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verilebilir</w:t>
      </w:r>
      <w:proofErr w:type="spellEnd"/>
      <w:r>
        <w:rPr>
          <w:sz w:val="24"/>
        </w:rPr>
        <w:t>.</w:t>
      </w:r>
    </w:p>
    <w:p w:rsidR="001C354C" w:rsidRDefault="001C354C" w:rsidP="001C354C">
      <w:pPr>
        <w:spacing w:before="19"/>
        <w:ind w:left="1196"/>
        <w:rPr>
          <w:b/>
        </w:rPr>
      </w:pPr>
      <w:r>
        <w:rPr>
          <w:b/>
        </w:rPr>
        <w:t>1.4.1</w:t>
      </w:r>
      <w:proofErr w:type="gramStart"/>
      <w:r>
        <w:rPr>
          <w:b/>
        </w:rPr>
        <w:t>.FİZİKSEL</w:t>
      </w:r>
      <w:proofErr w:type="gramEnd"/>
      <w:r>
        <w:rPr>
          <w:b/>
        </w:rPr>
        <w:t xml:space="preserve"> GÜVENLİK İÇİN ALINAN ÖNLEMLER</w:t>
      </w:r>
    </w:p>
    <w:p w:rsidR="001C354C" w:rsidRDefault="001C354C" w:rsidP="001C354C">
      <w:pPr>
        <w:pStyle w:val="ListeParagraf"/>
        <w:numPr>
          <w:ilvl w:val="3"/>
          <w:numId w:val="2"/>
        </w:numPr>
        <w:tabs>
          <w:tab w:val="left" w:pos="837"/>
        </w:tabs>
        <w:spacing w:before="4" w:line="463" w:lineRule="auto"/>
        <w:ind w:right="195"/>
        <w:jc w:val="both"/>
        <w:rPr>
          <w:sz w:val="24"/>
        </w:rPr>
      </w:pP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baskınına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mümkün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engellenmiştir</w:t>
      </w:r>
      <w:proofErr w:type="spellEnd"/>
      <w:r>
        <w:rPr>
          <w:sz w:val="24"/>
        </w:rPr>
        <w:t>.</w:t>
      </w:r>
    </w:p>
    <w:p w:rsidR="001C354C" w:rsidRDefault="001C354C" w:rsidP="001C354C">
      <w:pPr>
        <w:spacing w:line="463" w:lineRule="auto"/>
        <w:jc w:val="both"/>
        <w:rPr>
          <w:sz w:val="24"/>
        </w:rPr>
        <w:sectPr w:rsidR="001C354C" w:rsidSect="00E46C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580" w:right="1220" w:bottom="1660" w:left="1300" w:header="978" w:footer="290" w:gutter="0"/>
          <w:cols w:space="708"/>
        </w:sectPr>
      </w:pPr>
    </w:p>
    <w:p w:rsidR="001C354C" w:rsidRDefault="001C354C" w:rsidP="001C354C">
      <w:pPr>
        <w:pStyle w:val="GvdeMetni"/>
        <w:spacing w:before="10"/>
        <w:rPr>
          <w:sz w:val="15"/>
        </w:rPr>
      </w:pPr>
    </w:p>
    <w:p w:rsidR="001C354C" w:rsidRDefault="001C354C" w:rsidP="001C354C">
      <w:pPr>
        <w:spacing w:before="92"/>
        <w:ind w:left="1196"/>
        <w:rPr>
          <w:b/>
        </w:rPr>
      </w:pPr>
      <w:r>
        <w:rPr>
          <w:b/>
        </w:rPr>
        <w:t>1.4.3.</w:t>
      </w:r>
      <w:r>
        <w:rPr>
          <w:b/>
          <w:spacing w:val="53"/>
        </w:rPr>
        <w:t xml:space="preserve"> </w:t>
      </w:r>
      <w:r>
        <w:rPr>
          <w:b/>
        </w:rPr>
        <w:t>BAKIM</w:t>
      </w:r>
    </w:p>
    <w:p w:rsidR="001C354C" w:rsidRDefault="001C354C" w:rsidP="001C354C">
      <w:pPr>
        <w:pStyle w:val="GvdeMetni"/>
        <w:rPr>
          <w:b/>
          <w:sz w:val="22"/>
        </w:rPr>
      </w:pPr>
    </w:p>
    <w:p w:rsidR="001C354C" w:rsidRDefault="001C354C" w:rsidP="001C354C">
      <w:pPr>
        <w:pStyle w:val="ListeParagraf"/>
        <w:numPr>
          <w:ilvl w:val="4"/>
          <w:numId w:val="2"/>
        </w:numPr>
        <w:tabs>
          <w:tab w:val="left" w:pos="968"/>
          <w:tab w:val="left" w:pos="969"/>
        </w:tabs>
        <w:spacing w:line="463" w:lineRule="auto"/>
        <w:ind w:right="195"/>
        <w:rPr>
          <w:sz w:val="24"/>
        </w:rPr>
      </w:pPr>
      <w:proofErr w:type="spellStart"/>
      <w:r>
        <w:rPr>
          <w:sz w:val="24"/>
        </w:rPr>
        <w:t>Laboratuvarın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yetkilendirilmiş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yapılmalıdır</w:t>
      </w:r>
      <w:proofErr w:type="spellEnd"/>
      <w:r>
        <w:rPr>
          <w:sz w:val="24"/>
        </w:rPr>
        <w:t>.</w:t>
      </w:r>
    </w:p>
    <w:p w:rsidR="001C354C" w:rsidRDefault="001C354C" w:rsidP="001C354C">
      <w:pPr>
        <w:pStyle w:val="ListeParagraf"/>
        <w:numPr>
          <w:ilvl w:val="4"/>
          <w:numId w:val="2"/>
        </w:numPr>
        <w:tabs>
          <w:tab w:val="left" w:pos="968"/>
          <w:tab w:val="left" w:pos="969"/>
        </w:tabs>
        <w:spacing w:before="21"/>
        <w:rPr>
          <w:sz w:val="24"/>
        </w:rPr>
      </w:pPr>
      <w:proofErr w:type="spellStart"/>
      <w:r>
        <w:rPr>
          <w:sz w:val="24"/>
        </w:rPr>
        <w:t>Cihazların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tavsiye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aralığında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yapılmalıdır</w:t>
      </w:r>
      <w:proofErr w:type="spellEnd"/>
      <w:r>
        <w:rPr>
          <w:sz w:val="24"/>
        </w:rPr>
        <w:t>.</w:t>
      </w:r>
    </w:p>
    <w:p w:rsidR="001C354C" w:rsidRDefault="001C354C" w:rsidP="001C354C">
      <w:pPr>
        <w:pStyle w:val="GvdeMetni"/>
        <w:spacing w:before="10"/>
        <w:rPr>
          <w:sz w:val="23"/>
        </w:rPr>
      </w:pPr>
    </w:p>
    <w:p w:rsidR="001C354C" w:rsidRDefault="001C354C" w:rsidP="001C354C">
      <w:pPr>
        <w:pStyle w:val="ListeParagraf"/>
        <w:numPr>
          <w:ilvl w:val="4"/>
          <w:numId w:val="2"/>
        </w:numPr>
        <w:tabs>
          <w:tab w:val="left" w:pos="968"/>
          <w:tab w:val="left" w:pos="969"/>
        </w:tabs>
        <w:rPr>
          <w:sz w:val="24"/>
        </w:rPr>
      </w:pP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etkilenecek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birime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haber</w:t>
      </w:r>
      <w:proofErr w:type="spellEnd"/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>.</w:t>
      </w:r>
    </w:p>
    <w:p w:rsidR="001C354C" w:rsidRDefault="001C354C" w:rsidP="001C354C">
      <w:pPr>
        <w:pStyle w:val="GvdeMetni"/>
      </w:pPr>
    </w:p>
    <w:p w:rsidR="001C354C" w:rsidRDefault="001C354C" w:rsidP="001C354C">
      <w:pPr>
        <w:pStyle w:val="ListeParagraf"/>
        <w:numPr>
          <w:ilvl w:val="4"/>
          <w:numId w:val="2"/>
        </w:numPr>
        <w:tabs>
          <w:tab w:val="left" w:pos="968"/>
          <w:tab w:val="left" w:pos="969"/>
        </w:tabs>
        <w:spacing w:line="463" w:lineRule="auto"/>
        <w:ind w:right="197"/>
        <w:rPr>
          <w:sz w:val="24"/>
        </w:rPr>
      </w:pPr>
      <w:proofErr w:type="spellStart"/>
      <w:r>
        <w:rPr>
          <w:sz w:val="24"/>
        </w:rPr>
        <w:t>Cihazlar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parçası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arızadan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çıkacaksa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tutanağı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hazırlanmalıdır</w:t>
      </w:r>
      <w:proofErr w:type="spellEnd"/>
      <w:r>
        <w:rPr>
          <w:sz w:val="24"/>
        </w:rPr>
        <w:t>.</w:t>
      </w:r>
    </w:p>
    <w:sectPr w:rsidR="001C354C" w:rsidSect="00EC2AED">
      <w:pgSz w:w="11910" w:h="16840"/>
      <w:pgMar w:top="2580" w:right="1220" w:bottom="1660" w:left="1300" w:header="982" w:footer="8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29" w:rsidRDefault="00685C29" w:rsidP="00685C29">
      <w:r>
        <w:separator/>
      </w:r>
    </w:p>
  </w:endnote>
  <w:endnote w:type="continuationSeparator" w:id="1">
    <w:p w:rsidR="00685C29" w:rsidRDefault="00685C29" w:rsidP="0068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F" w:rsidRDefault="004677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446C66" w:rsidRPr="00330F64" w:rsidTr="00446C66">
      <w:trPr>
        <w:trHeight w:val="673"/>
      </w:trPr>
      <w:tc>
        <w:tcPr>
          <w:tcW w:w="2538" w:type="dxa"/>
          <w:shd w:val="clear" w:color="auto" w:fill="auto"/>
        </w:tcPr>
        <w:p w:rsidR="00446C66" w:rsidRPr="00330F64" w:rsidRDefault="00446C66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446C66" w:rsidRPr="00330F64" w:rsidRDefault="00446C66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446C66" w:rsidRPr="00330F64" w:rsidRDefault="00446C66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446C66" w:rsidRDefault="00446C66" w:rsidP="00E46C3F">
    <w:pPr>
      <w:pStyle w:val="Altbilgi"/>
      <w:jc w:val="center"/>
    </w:pPr>
  </w:p>
  <w:p w:rsidR="003C7DF8" w:rsidRDefault="0046775F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F" w:rsidRDefault="004677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29" w:rsidRDefault="00685C29" w:rsidP="00685C29">
      <w:r>
        <w:separator/>
      </w:r>
    </w:p>
  </w:footnote>
  <w:footnote w:type="continuationSeparator" w:id="1">
    <w:p w:rsidR="00685C29" w:rsidRDefault="00685C29" w:rsidP="0068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F" w:rsidRDefault="004677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4"/>
      <w:gridCol w:w="4252"/>
      <w:gridCol w:w="2029"/>
      <w:gridCol w:w="1347"/>
    </w:tblGrid>
    <w:tr w:rsidR="00446C66" w:rsidRPr="00A27D05" w:rsidTr="004E2E49">
      <w:trPr>
        <w:trHeight w:val="416"/>
      </w:trPr>
      <w:tc>
        <w:tcPr>
          <w:tcW w:w="1844" w:type="dxa"/>
          <w:vMerge w:val="restart"/>
          <w:vAlign w:val="center"/>
        </w:tcPr>
        <w:p w:rsidR="00446C66" w:rsidRPr="00A27D05" w:rsidRDefault="00446C66" w:rsidP="004E2E49">
          <w:pPr>
            <w:pStyle w:val="stbilgi"/>
            <w:jc w:val="center"/>
          </w:pPr>
          <w:r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81075" cy="1123950"/>
                <wp:effectExtent l="19050" t="0" r="9525" b="0"/>
                <wp:wrapNone/>
                <wp:docPr id="6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446C66" w:rsidRPr="00A27D05" w:rsidRDefault="00446C66" w:rsidP="004E2E49">
          <w:pPr>
            <w:pStyle w:val="stbilgi"/>
            <w:jc w:val="center"/>
            <w:rPr>
              <w:b/>
            </w:rPr>
          </w:pPr>
          <w:r w:rsidRPr="00923F06">
            <w:rPr>
              <w:b/>
              <w:sz w:val="28"/>
              <w:szCs w:val="28"/>
            </w:rPr>
            <w:t>MÜHENDİSLİK FAKÜLTESİ YAPI LABORATUVARI KULLANMA TALİMATI</w:t>
          </w:r>
        </w:p>
      </w:tc>
      <w:tc>
        <w:tcPr>
          <w:tcW w:w="2029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Doküman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TL-374</w:t>
          </w:r>
        </w:p>
      </w:tc>
    </w:tr>
    <w:tr w:rsidR="00446C66" w:rsidRPr="00A27D05" w:rsidTr="004E2E49">
      <w:trPr>
        <w:trHeight w:val="419"/>
      </w:trPr>
      <w:tc>
        <w:tcPr>
          <w:tcW w:w="1844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İlk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Yayın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05.02.2018</w:t>
          </w:r>
        </w:p>
      </w:tc>
    </w:tr>
    <w:tr w:rsidR="00446C66" w:rsidRPr="00A27D05" w:rsidTr="004E2E49">
      <w:trPr>
        <w:trHeight w:val="409"/>
      </w:trPr>
      <w:tc>
        <w:tcPr>
          <w:tcW w:w="1844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</w:p>
      </w:tc>
    </w:tr>
    <w:tr w:rsidR="00446C66" w:rsidRPr="00A27D05" w:rsidTr="004E2E49">
      <w:trPr>
        <w:trHeight w:val="412"/>
      </w:trPr>
      <w:tc>
        <w:tcPr>
          <w:tcW w:w="1844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00</w:t>
          </w:r>
        </w:p>
      </w:tc>
    </w:tr>
    <w:tr w:rsidR="00446C66" w:rsidRPr="00A27D05" w:rsidTr="004E2E49">
      <w:trPr>
        <w:trHeight w:val="294"/>
      </w:trPr>
      <w:tc>
        <w:tcPr>
          <w:tcW w:w="1844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446C66" w:rsidRPr="00A27D05" w:rsidRDefault="00446C6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Sayfa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446C66" w:rsidRPr="00D47AEA" w:rsidRDefault="005958FC" w:rsidP="004E2E49">
          <w:pPr>
            <w:rPr>
              <w:sz w:val="20"/>
              <w:szCs w:val="20"/>
              <w:lang w:val="tr-TR"/>
            </w:rPr>
          </w:pPr>
          <w:r w:rsidRPr="00D47AEA">
            <w:rPr>
              <w:sz w:val="20"/>
              <w:szCs w:val="20"/>
              <w:lang w:val="tr-TR"/>
            </w:rPr>
            <w:fldChar w:fldCharType="begin"/>
          </w:r>
          <w:r w:rsidR="00446C66" w:rsidRPr="00D47AEA">
            <w:rPr>
              <w:sz w:val="20"/>
              <w:szCs w:val="20"/>
              <w:lang w:val="tr-TR"/>
            </w:rPr>
            <w:instrText xml:space="preserve"> PAGE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46775F">
            <w:rPr>
              <w:noProof/>
              <w:sz w:val="20"/>
              <w:szCs w:val="20"/>
              <w:lang w:val="tr-TR"/>
            </w:rPr>
            <w:t>1</w:t>
          </w:r>
          <w:r w:rsidRPr="00D47AEA">
            <w:rPr>
              <w:sz w:val="20"/>
              <w:szCs w:val="20"/>
              <w:lang w:val="tr-TR"/>
            </w:rPr>
            <w:fldChar w:fldCharType="end"/>
          </w:r>
          <w:r w:rsidR="00446C66" w:rsidRPr="00D47AEA">
            <w:rPr>
              <w:sz w:val="20"/>
              <w:szCs w:val="20"/>
              <w:lang w:val="tr-TR"/>
            </w:rPr>
            <w:t xml:space="preserve"> / </w:t>
          </w:r>
          <w:r w:rsidRPr="00D47AEA">
            <w:rPr>
              <w:sz w:val="20"/>
              <w:szCs w:val="20"/>
              <w:lang w:val="tr-TR"/>
            </w:rPr>
            <w:fldChar w:fldCharType="begin"/>
          </w:r>
          <w:r w:rsidR="00446C66" w:rsidRPr="00D47AEA">
            <w:rPr>
              <w:sz w:val="20"/>
              <w:szCs w:val="20"/>
              <w:lang w:val="tr-TR"/>
            </w:rPr>
            <w:instrText xml:space="preserve"> NUMPAGES 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46775F">
            <w:rPr>
              <w:noProof/>
              <w:sz w:val="20"/>
              <w:szCs w:val="20"/>
              <w:lang w:val="tr-TR"/>
            </w:rPr>
            <w:t>2</w:t>
          </w:r>
          <w:r w:rsidRPr="00D47AEA">
            <w:rPr>
              <w:sz w:val="20"/>
              <w:szCs w:val="20"/>
              <w:lang w:val="tr-TR"/>
            </w:rPr>
            <w:fldChar w:fldCharType="end"/>
          </w:r>
        </w:p>
        <w:p w:rsidR="00446C66" w:rsidRPr="00D47AEA" w:rsidRDefault="00446C66" w:rsidP="004E2E49">
          <w:pPr>
            <w:pStyle w:val="stbilgi"/>
            <w:rPr>
              <w:sz w:val="20"/>
              <w:szCs w:val="20"/>
            </w:rPr>
          </w:pPr>
        </w:p>
      </w:tc>
    </w:tr>
  </w:tbl>
  <w:p w:rsidR="003C7DF8" w:rsidRDefault="0046775F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F" w:rsidRDefault="004677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F3F"/>
    <w:multiLevelType w:val="multilevel"/>
    <w:tmpl w:val="B3182A28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6"/>
        <w:jc w:val="left"/>
      </w:pPr>
      <w:rPr>
        <w:rFonts w:hint="default"/>
        <w:b/>
        <w:bCs/>
        <w:spacing w:val="-23"/>
        <w:w w:val="99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</w:rPr>
    </w:lvl>
    <w:lvl w:ilvl="5">
      <w:numFmt w:val="bullet"/>
      <w:lvlText w:val="•"/>
      <w:lvlJc w:val="left"/>
      <w:pPr>
        <w:ind w:left="3014" w:hanging="360"/>
      </w:pPr>
      <w:rPr>
        <w:rFonts w:hint="default"/>
      </w:rPr>
    </w:lvl>
    <w:lvl w:ilvl="6">
      <w:numFmt w:val="bullet"/>
      <w:lvlText w:val="•"/>
      <w:lvlJc w:val="left"/>
      <w:pPr>
        <w:ind w:left="4288" w:hanging="360"/>
      </w:pPr>
      <w:rPr>
        <w:rFonts w:hint="default"/>
      </w:rPr>
    </w:lvl>
    <w:lvl w:ilvl="7">
      <w:numFmt w:val="bullet"/>
      <w:lvlText w:val="•"/>
      <w:lvlJc w:val="left"/>
      <w:pPr>
        <w:ind w:left="5563" w:hanging="360"/>
      </w:pPr>
      <w:rPr>
        <w:rFonts w:hint="default"/>
      </w:rPr>
    </w:lvl>
    <w:lvl w:ilvl="8">
      <w:numFmt w:val="bullet"/>
      <w:lvlText w:val="•"/>
      <w:lvlJc w:val="left"/>
      <w:pPr>
        <w:ind w:left="6837" w:hanging="360"/>
      </w:pPr>
      <w:rPr>
        <w:rFonts w:hint="default"/>
      </w:rPr>
    </w:lvl>
  </w:abstractNum>
  <w:abstractNum w:abstractNumId="1">
    <w:nsid w:val="79297C3B"/>
    <w:multiLevelType w:val="multilevel"/>
    <w:tmpl w:val="FB6E617E"/>
    <w:lvl w:ilvl="0">
      <w:start w:val="2"/>
      <w:numFmt w:val="decimal"/>
      <w:lvlText w:val="%1"/>
      <w:lvlJc w:val="left"/>
      <w:pPr>
        <w:ind w:left="536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3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3367" w:hanging="360"/>
      </w:pPr>
      <w:rPr>
        <w:rFonts w:hint="default"/>
      </w:rPr>
    </w:lvl>
    <w:lvl w:ilvl="6">
      <w:numFmt w:val="bullet"/>
      <w:lvlText w:val="•"/>
      <w:lvlJc w:val="left"/>
      <w:pPr>
        <w:ind w:left="4571" w:hanging="360"/>
      </w:pPr>
      <w:rPr>
        <w:rFonts w:hint="default"/>
      </w:rPr>
    </w:lvl>
    <w:lvl w:ilvl="7">
      <w:numFmt w:val="bullet"/>
      <w:lvlText w:val="•"/>
      <w:lvlJc w:val="left"/>
      <w:pPr>
        <w:ind w:left="5775" w:hanging="360"/>
      </w:pPr>
      <w:rPr>
        <w:rFonts w:hint="default"/>
      </w:rPr>
    </w:lvl>
    <w:lvl w:ilvl="8">
      <w:numFmt w:val="bullet"/>
      <w:lvlText w:val="•"/>
      <w:lvlJc w:val="left"/>
      <w:pPr>
        <w:ind w:left="69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C354C"/>
    <w:rsid w:val="001C354C"/>
    <w:rsid w:val="001F2EE4"/>
    <w:rsid w:val="00446C66"/>
    <w:rsid w:val="0046775F"/>
    <w:rsid w:val="00524C3F"/>
    <w:rsid w:val="005958FC"/>
    <w:rsid w:val="00685C29"/>
    <w:rsid w:val="00C53AB9"/>
    <w:rsid w:val="00E46C3F"/>
    <w:rsid w:val="00EC2AED"/>
    <w:rsid w:val="00F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C354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3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1C354C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C354C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1C354C"/>
  </w:style>
  <w:style w:type="paragraph" w:styleId="BalonMetni">
    <w:name w:val="Balloon Text"/>
    <w:basedOn w:val="Normal"/>
    <w:link w:val="BalonMetniChar"/>
    <w:uiPriority w:val="99"/>
    <w:semiHidden/>
    <w:unhideWhenUsed/>
    <w:rsid w:val="001C35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54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46C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6C6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46C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6C6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</cp:revision>
  <dcterms:created xsi:type="dcterms:W3CDTF">2018-02-28T13:16:00Z</dcterms:created>
  <dcterms:modified xsi:type="dcterms:W3CDTF">2018-05-07T07:54:00Z</dcterms:modified>
</cp:coreProperties>
</file>