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59" w:rsidRDefault="00495059" w:rsidP="00495059">
      <w:pPr>
        <w:pStyle w:val="GvdeMetni"/>
        <w:spacing w:before="4"/>
        <w:rPr>
          <w:sz w:val="15"/>
        </w:rPr>
      </w:pPr>
    </w:p>
    <w:p w:rsidR="00495059" w:rsidRDefault="000B5782" w:rsidP="00495059">
      <w:pPr>
        <w:pStyle w:val="Heading3"/>
        <w:tabs>
          <w:tab w:val="left" w:pos="537"/>
        </w:tabs>
        <w:spacing w:before="90"/>
      </w:pPr>
      <w:r>
        <w:tab/>
      </w:r>
      <w:r>
        <w:tab/>
      </w:r>
      <w:r>
        <w:tab/>
      </w:r>
      <w:r w:rsidR="00495059">
        <w:t>VOLÜMETRİK TANK CİHAZI KULLANIM</w:t>
      </w:r>
      <w:r w:rsidR="00495059">
        <w:rPr>
          <w:spacing w:val="-7"/>
        </w:rPr>
        <w:t xml:space="preserve"> </w:t>
      </w:r>
      <w:r w:rsidR="00495059">
        <w:t>TALİMATI</w:t>
      </w:r>
    </w:p>
    <w:p w:rsidR="00495059" w:rsidRDefault="00495059" w:rsidP="00495059">
      <w:pPr>
        <w:pStyle w:val="GvdeMetni"/>
        <w:rPr>
          <w:b/>
          <w:sz w:val="26"/>
        </w:rPr>
      </w:pPr>
    </w:p>
    <w:p w:rsidR="00495059" w:rsidRDefault="00495059" w:rsidP="00495059">
      <w:pPr>
        <w:pStyle w:val="GvdeMetni"/>
        <w:spacing w:before="11"/>
        <w:rPr>
          <w:b/>
          <w:sz w:val="21"/>
        </w:rPr>
      </w:pPr>
    </w:p>
    <w:p w:rsidR="00495059" w:rsidRPr="00495059" w:rsidRDefault="000B5782" w:rsidP="000B5782">
      <w:pPr>
        <w:tabs>
          <w:tab w:val="left" w:pos="806"/>
        </w:tabs>
        <w:spacing w:line="360" w:lineRule="auto"/>
        <w:ind w:left="116" w:right="202"/>
        <w:jc w:val="both"/>
        <w:rPr>
          <w:sz w:val="24"/>
        </w:rPr>
      </w:pPr>
      <w:r>
        <w:rPr>
          <w:b/>
          <w:sz w:val="24"/>
        </w:rPr>
        <w:tab/>
      </w:r>
      <w:r w:rsidR="00495059" w:rsidRPr="00495059">
        <w:rPr>
          <w:b/>
          <w:sz w:val="24"/>
        </w:rPr>
        <w:t xml:space="preserve">AMAÇ: </w:t>
      </w:r>
      <w:proofErr w:type="spellStart"/>
      <w:r w:rsidR="00495059" w:rsidRPr="00495059">
        <w:rPr>
          <w:sz w:val="24"/>
        </w:rPr>
        <w:t>Hidrolik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deneylerinde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suyun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devrini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sağlayan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deney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aletidir</w:t>
      </w:r>
      <w:proofErr w:type="spellEnd"/>
      <w:r w:rsidR="00495059" w:rsidRPr="00495059">
        <w:rPr>
          <w:sz w:val="24"/>
        </w:rPr>
        <w:t xml:space="preserve">. </w:t>
      </w:r>
      <w:proofErr w:type="spellStart"/>
      <w:proofErr w:type="gramStart"/>
      <w:r w:rsidR="00495059" w:rsidRPr="00495059">
        <w:rPr>
          <w:sz w:val="24"/>
        </w:rPr>
        <w:t>İçerisinde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bulunan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pompa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yardımı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ile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mevcut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suyun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hareketini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sağlar</w:t>
      </w:r>
      <w:proofErr w:type="spellEnd"/>
      <w:r w:rsidR="00495059" w:rsidRPr="00495059">
        <w:rPr>
          <w:sz w:val="24"/>
        </w:rPr>
        <w:t>.</w:t>
      </w:r>
      <w:proofErr w:type="gramEnd"/>
      <w:r w:rsidR="00495059" w:rsidRPr="00495059">
        <w:rPr>
          <w:sz w:val="24"/>
        </w:rPr>
        <w:t xml:space="preserve"> </w:t>
      </w:r>
      <w:proofErr w:type="spellStart"/>
      <w:proofErr w:type="gramStart"/>
      <w:r w:rsidR="00495059" w:rsidRPr="00495059">
        <w:rPr>
          <w:sz w:val="24"/>
        </w:rPr>
        <w:t>Vana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yardımı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ile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suyun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çıkış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debisini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ayarlanması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yapılabilmektedir</w:t>
      </w:r>
      <w:proofErr w:type="spellEnd"/>
      <w:r w:rsidR="00495059" w:rsidRPr="00495059">
        <w:rPr>
          <w:sz w:val="24"/>
        </w:rPr>
        <w:t>.</w:t>
      </w:r>
      <w:proofErr w:type="gramEnd"/>
      <w:r w:rsidR="00495059" w:rsidRPr="00495059">
        <w:rPr>
          <w:sz w:val="24"/>
        </w:rPr>
        <w:t xml:space="preserve"> </w:t>
      </w:r>
      <w:proofErr w:type="spellStart"/>
      <w:proofErr w:type="gramStart"/>
      <w:r w:rsidR="00495059" w:rsidRPr="00495059">
        <w:rPr>
          <w:sz w:val="24"/>
        </w:rPr>
        <w:t>Ayrıca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deneysel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hesaplarda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kullanılmak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üzere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suyun</w:t>
      </w:r>
      <w:proofErr w:type="spellEnd"/>
      <w:r w:rsidR="00495059" w:rsidRPr="00495059">
        <w:rPr>
          <w:sz w:val="24"/>
        </w:rPr>
        <w:t xml:space="preserve"> </w:t>
      </w:r>
      <w:proofErr w:type="spellStart"/>
      <w:r w:rsidR="00495059" w:rsidRPr="00495059">
        <w:rPr>
          <w:sz w:val="24"/>
        </w:rPr>
        <w:t>hacmi</w:t>
      </w:r>
      <w:proofErr w:type="spellEnd"/>
      <w:r w:rsidR="00495059" w:rsidRPr="00495059">
        <w:rPr>
          <w:spacing w:val="-1"/>
          <w:sz w:val="24"/>
        </w:rPr>
        <w:t xml:space="preserve"> </w:t>
      </w:r>
      <w:proofErr w:type="spellStart"/>
      <w:r w:rsidR="00495059" w:rsidRPr="00495059">
        <w:rPr>
          <w:sz w:val="24"/>
        </w:rPr>
        <w:t>hesaplanabilmektedir</w:t>
      </w:r>
      <w:proofErr w:type="spellEnd"/>
      <w:r w:rsidR="00495059" w:rsidRPr="00495059">
        <w:rPr>
          <w:sz w:val="24"/>
        </w:rPr>
        <w:t>.</w:t>
      </w:r>
      <w:proofErr w:type="gramEnd"/>
    </w:p>
    <w:p w:rsidR="00495059" w:rsidRDefault="00495059" w:rsidP="00495059">
      <w:pPr>
        <w:pStyle w:val="GvdeMetni"/>
        <w:spacing w:before="11"/>
        <w:rPr>
          <w:sz w:val="20"/>
        </w:rPr>
      </w:pPr>
    </w:p>
    <w:p w:rsidR="00495059" w:rsidRDefault="00495059" w:rsidP="00495059">
      <w:pPr>
        <w:pStyle w:val="ListeParagraf"/>
        <w:numPr>
          <w:ilvl w:val="2"/>
          <w:numId w:val="1"/>
        </w:numPr>
        <w:tabs>
          <w:tab w:val="left" w:pos="734"/>
        </w:tabs>
        <w:spacing w:line="360" w:lineRule="auto"/>
        <w:ind w:right="196" w:firstLine="0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Anabilim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dalını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495059" w:rsidRDefault="00495059" w:rsidP="00495059">
      <w:pPr>
        <w:pStyle w:val="GvdeMetni"/>
        <w:spacing w:before="10"/>
        <w:rPr>
          <w:sz w:val="20"/>
        </w:rPr>
      </w:pPr>
    </w:p>
    <w:p w:rsidR="00495059" w:rsidRDefault="00495059" w:rsidP="00495059">
      <w:pPr>
        <w:pStyle w:val="ListeParagraf"/>
        <w:numPr>
          <w:ilvl w:val="2"/>
          <w:numId w:val="1"/>
        </w:numPr>
        <w:tabs>
          <w:tab w:val="left" w:pos="717"/>
        </w:tabs>
        <w:ind w:left="716" w:hanging="600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Nermin</w:t>
      </w:r>
      <w:proofErr w:type="spellEnd"/>
      <w:r>
        <w:rPr>
          <w:sz w:val="24"/>
        </w:rPr>
        <w:t xml:space="preserve"> ŞARLAK, </w:t>
      </w:r>
      <w:proofErr w:type="spellStart"/>
      <w:r>
        <w:rPr>
          <w:sz w:val="24"/>
        </w:rPr>
        <w:t>Arş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Gör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Soner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Çağatay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BAĞÇACI</w:t>
      </w:r>
    </w:p>
    <w:p w:rsidR="00495059" w:rsidRDefault="00495059" w:rsidP="00495059">
      <w:pPr>
        <w:pStyle w:val="GvdeMetni"/>
        <w:spacing w:before="9"/>
        <w:rPr>
          <w:sz w:val="32"/>
        </w:rPr>
      </w:pPr>
    </w:p>
    <w:p w:rsidR="00495059" w:rsidRDefault="00495059" w:rsidP="00495059">
      <w:pPr>
        <w:pStyle w:val="Heading3"/>
        <w:numPr>
          <w:ilvl w:val="2"/>
          <w:numId w:val="1"/>
        </w:numPr>
        <w:tabs>
          <w:tab w:val="left" w:pos="717"/>
        </w:tabs>
        <w:ind w:left="716" w:hanging="600"/>
      </w:pPr>
      <w:r>
        <w:t>UYGULAMA:</w:t>
      </w:r>
    </w:p>
    <w:p w:rsidR="00495059" w:rsidRDefault="00495059" w:rsidP="00495059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41"/>
        <w:rPr>
          <w:sz w:val="24"/>
        </w:rPr>
      </w:pPr>
      <w:proofErr w:type="spellStart"/>
      <w:r>
        <w:rPr>
          <w:sz w:val="24"/>
        </w:rPr>
        <w:t>Volumetrik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tankı</w:t>
      </w:r>
      <w:proofErr w:type="spellEnd"/>
      <w:r>
        <w:rPr>
          <w:sz w:val="24"/>
        </w:rPr>
        <w:t xml:space="preserve"> 220 volt prize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takınız</w:t>
      </w:r>
      <w:proofErr w:type="spellEnd"/>
      <w:r>
        <w:rPr>
          <w:sz w:val="24"/>
        </w:rPr>
        <w:t>.</w:t>
      </w:r>
    </w:p>
    <w:p w:rsidR="00495059" w:rsidRDefault="00495059" w:rsidP="00495059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36" w:line="350" w:lineRule="auto"/>
        <w:ind w:right="197"/>
        <w:rPr>
          <w:sz w:val="24"/>
        </w:rPr>
      </w:pPr>
      <w:proofErr w:type="spellStart"/>
      <w:r>
        <w:rPr>
          <w:sz w:val="24"/>
        </w:rPr>
        <w:t>Kullanacağınız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düzeneğini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giriş-çıkış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bağlayınız</w:t>
      </w:r>
      <w:proofErr w:type="spellEnd"/>
      <w:r>
        <w:rPr>
          <w:sz w:val="24"/>
        </w:rPr>
        <w:t>.</w:t>
      </w:r>
    </w:p>
    <w:p w:rsidR="00495059" w:rsidRDefault="00495059" w:rsidP="00495059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2"/>
        <w:rPr>
          <w:sz w:val="24"/>
        </w:rPr>
      </w:pPr>
      <w:proofErr w:type="spellStart"/>
      <w:r>
        <w:rPr>
          <w:sz w:val="24"/>
        </w:rPr>
        <w:t>Tankı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çalıştırıp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düzeneğinden</w:t>
      </w:r>
      <w:proofErr w:type="spellEnd"/>
      <w:r>
        <w:rPr>
          <w:sz w:val="24"/>
        </w:rPr>
        <w:t xml:space="preserve"> tam </w:t>
      </w:r>
      <w:proofErr w:type="spellStart"/>
      <w:r>
        <w:rPr>
          <w:sz w:val="24"/>
        </w:rPr>
        <w:t>devir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döndüğünü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görünüz</w:t>
      </w:r>
      <w:proofErr w:type="spellEnd"/>
      <w:r>
        <w:rPr>
          <w:sz w:val="24"/>
        </w:rPr>
        <w:t>.</w:t>
      </w:r>
    </w:p>
    <w:p w:rsidR="00495059" w:rsidRDefault="00495059" w:rsidP="00495059">
      <w:pPr>
        <w:rPr>
          <w:sz w:val="24"/>
        </w:rPr>
        <w:sectPr w:rsidR="00495059" w:rsidSect="000B57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960" w:right="1220" w:bottom="1660" w:left="1300" w:header="709" w:footer="417" w:gutter="0"/>
          <w:cols w:space="708"/>
        </w:sectPr>
      </w:pPr>
    </w:p>
    <w:p w:rsidR="003A4964" w:rsidRDefault="003A4964" w:rsidP="00495059">
      <w:pPr>
        <w:pStyle w:val="ListeParagraf"/>
        <w:tabs>
          <w:tab w:val="left" w:pos="1040"/>
        </w:tabs>
        <w:spacing w:before="44"/>
        <w:ind w:left="1039"/>
      </w:pPr>
    </w:p>
    <w:sectPr w:rsidR="003A4964" w:rsidSect="003A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61" w:rsidRDefault="008A3161" w:rsidP="008A3161">
      <w:r>
        <w:separator/>
      </w:r>
    </w:p>
  </w:endnote>
  <w:endnote w:type="continuationSeparator" w:id="1">
    <w:p w:rsidR="008A3161" w:rsidRDefault="008A3161" w:rsidP="008A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46" w:rsidRDefault="0008134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538"/>
      <w:gridCol w:w="3355"/>
      <w:gridCol w:w="3179"/>
    </w:tblGrid>
    <w:tr w:rsidR="000B5782" w:rsidRPr="00330F64" w:rsidTr="000B5782">
      <w:trPr>
        <w:trHeight w:val="673"/>
      </w:trPr>
      <w:tc>
        <w:tcPr>
          <w:tcW w:w="2538" w:type="dxa"/>
          <w:shd w:val="clear" w:color="auto" w:fill="auto"/>
        </w:tcPr>
        <w:p w:rsidR="000B5782" w:rsidRPr="00330F64" w:rsidRDefault="000B5782" w:rsidP="004E2E49">
          <w:pPr>
            <w:pStyle w:val="Altbilgi"/>
            <w:jc w:val="center"/>
            <w:rPr>
              <w:sz w:val="20"/>
            </w:rPr>
          </w:pPr>
          <w:proofErr w:type="spellStart"/>
          <w:r w:rsidRPr="00330F64">
            <w:rPr>
              <w:sz w:val="20"/>
            </w:rPr>
            <w:t>Hazırlayan</w:t>
          </w:r>
          <w:proofErr w:type="spellEnd"/>
        </w:p>
      </w:tc>
      <w:tc>
        <w:tcPr>
          <w:tcW w:w="3355" w:type="dxa"/>
          <w:shd w:val="clear" w:color="auto" w:fill="auto"/>
        </w:tcPr>
        <w:p w:rsidR="000B5782" w:rsidRPr="00330F64" w:rsidRDefault="000B5782" w:rsidP="004E2E49">
          <w:pPr>
            <w:pStyle w:val="Altbilgi"/>
            <w:jc w:val="center"/>
            <w:rPr>
              <w:sz w:val="20"/>
            </w:rPr>
          </w:pPr>
        </w:p>
      </w:tc>
      <w:tc>
        <w:tcPr>
          <w:tcW w:w="3179" w:type="dxa"/>
          <w:shd w:val="clear" w:color="auto" w:fill="auto"/>
        </w:tcPr>
        <w:p w:rsidR="000B5782" w:rsidRPr="00330F64" w:rsidRDefault="000B5782" w:rsidP="004E2E49">
          <w:pPr>
            <w:pStyle w:val="Altbilgi"/>
            <w:jc w:val="center"/>
            <w:rPr>
              <w:sz w:val="20"/>
            </w:rPr>
          </w:pPr>
          <w:proofErr w:type="spellStart"/>
          <w:r w:rsidRPr="00330F64">
            <w:rPr>
              <w:sz w:val="20"/>
            </w:rPr>
            <w:t>Kalite</w:t>
          </w:r>
          <w:proofErr w:type="spellEnd"/>
          <w:r w:rsidRPr="00330F64">
            <w:rPr>
              <w:sz w:val="20"/>
            </w:rPr>
            <w:t xml:space="preserve"> </w:t>
          </w:r>
          <w:proofErr w:type="spellStart"/>
          <w:r w:rsidRPr="00330F64">
            <w:rPr>
              <w:sz w:val="20"/>
            </w:rPr>
            <w:t>Sistem</w:t>
          </w:r>
          <w:proofErr w:type="spellEnd"/>
          <w:r w:rsidRPr="00330F64">
            <w:rPr>
              <w:sz w:val="20"/>
            </w:rPr>
            <w:t xml:space="preserve"> </w:t>
          </w:r>
          <w:proofErr w:type="spellStart"/>
          <w:r w:rsidRPr="00330F64">
            <w:rPr>
              <w:sz w:val="20"/>
            </w:rPr>
            <w:t>Onayı</w:t>
          </w:r>
          <w:proofErr w:type="spellEnd"/>
        </w:p>
      </w:tc>
    </w:tr>
  </w:tbl>
  <w:p w:rsidR="000B5782" w:rsidRDefault="000B5782" w:rsidP="000B5782">
    <w:pPr>
      <w:pStyle w:val="Altbilgi"/>
      <w:jc w:val="right"/>
    </w:pPr>
    <w:r>
      <w:tab/>
    </w:r>
    <w:sdt>
      <w:sdtPr>
        <w:id w:val="1319753"/>
        <w:docPartObj>
          <w:docPartGallery w:val="Page Numbers (Bottom of Page)"/>
          <w:docPartUnique/>
        </w:docPartObj>
      </w:sdtPr>
      <w:sdtContent/>
    </w:sdt>
  </w:p>
  <w:p w:rsidR="00123A0A" w:rsidRPr="000B5782" w:rsidRDefault="00F01418" w:rsidP="000B578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46" w:rsidRDefault="000813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61" w:rsidRDefault="008A3161" w:rsidP="008A3161">
      <w:r>
        <w:separator/>
      </w:r>
    </w:p>
  </w:footnote>
  <w:footnote w:type="continuationSeparator" w:id="1">
    <w:p w:rsidR="008A3161" w:rsidRDefault="008A3161" w:rsidP="008A3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46" w:rsidRDefault="0008134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0B5782" w:rsidRPr="00151E02" w:rsidTr="004E2E49">
      <w:trPr>
        <w:trHeight w:val="312"/>
      </w:trPr>
      <w:tc>
        <w:tcPr>
          <w:tcW w:w="1560" w:type="dxa"/>
          <w:vMerge w:val="restart"/>
          <w:vAlign w:val="center"/>
        </w:tcPr>
        <w:p w:rsidR="000B5782" w:rsidRPr="00FD0360" w:rsidRDefault="000B5782" w:rsidP="004E2E4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8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0B5782" w:rsidRPr="00373438" w:rsidRDefault="000B5782" w:rsidP="004E2E49">
          <w:pPr>
            <w:jc w:val="center"/>
            <w:rPr>
              <w:b/>
            </w:rPr>
          </w:pPr>
          <w:r w:rsidRPr="007C1523">
            <w:rPr>
              <w:b/>
              <w:sz w:val="28"/>
              <w:szCs w:val="30"/>
            </w:rPr>
            <w:t>VOLÜMETRİK TANK CİHAZI KULLANMA TALİMATI</w:t>
          </w:r>
        </w:p>
      </w:tc>
      <w:tc>
        <w:tcPr>
          <w:tcW w:w="1488" w:type="dxa"/>
          <w:vAlign w:val="center"/>
        </w:tcPr>
        <w:p w:rsidR="000B5782" w:rsidRPr="0046347A" w:rsidRDefault="000B5782" w:rsidP="004E2E49">
          <w:pPr>
            <w:pStyle w:val="stbilgi"/>
            <w:rPr>
              <w:sz w:val="18"/>
            </w:rPr>
          </w:pPr>
          <w:proofErr w:type="spellStart"/>
          <w:r w:rsidRPr="0046347A">
            <w:rPr>
              <w:sz w:val="18"/>
            </w:rPr>
            <w:t>Doküman</w:t>
          </w:r>
          <w:proofErr w:type="spellEnd"/>
          <w:r w:rsidRPr="0046347A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0B5782" w:rsidRPr="0046347A" w:rsidRDefault="000B5782" w:rsidP="004E2E49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sz w:val="20"/>
              <w:szCs w:val="20"/>
            </w:rPr>
            <w:t>TL-3</w:t>
          </w:r>
          <w:r>
            <w:rPr>
              <w:sz w:val="20"/>
              <w:szCs w:val="20"/>
            </w:rPr>
            <w:t>64</w:t>
          </w:r>
        </w:p>
      </w:tc>
    </w:tr>
    <w:tr w:rsidR="000B5782" w:rsidRPr="00151E02" w:rsidTr="004E2E49">
      <w:trPr>
        <w:trHeight w:val="312"/>
      </w:trPr>
      <w:tc>
        <w:tcPr>
          <w:tcW w:w="1560" w:type="dxa"/>
          <w:vMerge/>
          <w:vAlign w:val="center"/>
        </w:tcPr>
        <w:p w:rsidR="000B5782" w:rsidRPr="00FD0360" w:rsidRDefault="000B5782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0B5782" w:rsidRPr="00373438" w:rsidRDefault="000B5782" w:rsidP="004E2E49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0B5782" w:rsidRPr="0046347A" w:rsidRDefault="000B5782" w:rsidP="004E2E49">
          <w:pPr>
            <w:pStyle w:val="stbilgi"/>
            <w:rPr>
              <w:sz w:val="18"/>
            </w:rPr>
          </w:pPr>
          <w:proofErr w:type="spellStart"/>
          <w:r w:rsidRPr="0046347A">
            <w:rPr>
              <w:sz w:val="18"/>
            </w:rPr>
            <w:t>İlk</w:t>
          </w:r>
          <w:proofErr w:type="spellEnd"/>
          <w:r w:rsidRPr="0046347A">
            <w:rPr>
              <w:sz w:val="18"/>
            </w:rPr>
            <w:t xml:space="preserve"> </w:t>
          </w:r>
          <w:proofErr w:type="spellStart"/>
          <w:r w:rsidRPr="0046347A">
            <w:rPr>
              <w:sz w:val="18"/>
            </w:rPr>
            <w:t>Yayın</w:t>
          </w:r>
          <w:proofErr w:type="spellEnd"/>
          <w:r w:rsidRPr="0046347A">
            <w:rPr>
              <w:sz w:val="18"/>
            </w:rPr>
            <w:t xml:space="preserve"> </w:t>
          </w:r>
          <w:proofErr w:type="spellStart"/>
          <w:r w:rsidRPr="0046347A">
            <w:rPr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0B5782" w:rsidRPr="0046347A" w:rsidRDefault="000B5782" w:rsidP="004E2E49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sz w:val="20"/>
              <w:szCs w:val="20"/>
            </w:rPr>
            <w:t>05.02.2018</w:t>
          </w:r>
        </w:p>
      </w:tc>
    </w:tr>
    <w:tr w:rsidR="000B5782" w:rsidRPr="00151E02" w:rsidTr="004E2E49">
      <w:trPr>
        <w:trHeight w:val="312"/>
      </w:trPr>
      <w:tc>
        <w:tcPr>
          <w:tcW w:w="1560" w:type="dxa"/>
          <w:vMerge/>
          <w:vAlign w:val="center"/>
        </w:tcPr>
        <w:p w:rsidR="000B5782" w:rsidRPr="00FD0360" w:rsidRDefault="000B5782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0B5782" w:rsidRPr="00373438" w:rsidRDefault="000B5782" w:rsidP="004E2E49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0B5782" w:rsidRPr="0046347A" w:rsidRDefault="000B5782" w:rsidP="004E2E49">
          <w:pPr>
            <w:pStyle w:val="stbilgi"/>
            <w:rPr>
              <w:sz w:val="18"/>
            </w:rPr>
          </w:pPr>
          <w:proofErr w:type="spellStart"/>
          <w:r w:rsidRPr="0046347A">
            <w:rPr>
              <w:sz w:val="18"/>
            </w:rPr>
            <w:t>Revizyon</w:t>
          </w:r>
          <w:proofErr w:type="spellEnd"/>
          <w:r w:rsidRPr="0046347A">
            <w:rPr>
              <w:sz w:val="18"/>
            </w:rPr>
            <w:t xml:space="preserve"> </w:t>
          </w:r>
          <w:proofErr w:type="spellStart"/>
          <w:r w:rsidRPr="0046347A">
            <w:rPr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0B5782" w:rsidRPr="0046347A" w:rsidRDefault="000B5782" w:rsidP="004E2E49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0B5782" w:rsidRPr="00151E02" w:rsidTr="004E2E49">
      <w:trPr>
        <w:trHeight w:val="312"/>
      </w:trPr>
      <w:tc>
        <w:tcPr>
          <w:tcW w:w="1560" w:type="dxa"/>
          <w:vMerge/>
          <w:vAlign w:val="center"/>
        </w:tcPr>
        <w:p w:rsidR="000B5782" w:rsidRPr="00FD0360" w:rsidRDefault="000B5782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0B5782" w:rsidRPr="00373438" w:rsidRDefault="000B5782" w:rsidP="004E2E49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0B5782" w:rsidRPr="0046347A" w:rsidRDefault="000B5782" w:rsidP="004E2E49">
          <w:pPr>
            <w:pStyle w:val="stbilgi"/>
            <w:rPr>
              <w:sz w:val="18"/>
            </w:rPr>
          </w:pPr>
          <w:proofErr w:type="spellStart"/>
          <w:r w:rsidRPr="0046347A">
            <w:rPr>
              <w:sz w:val="18"/>
            </w:rPr>
            <w:t>Revizyon</w:t>
          </w:r>
          <w:proofErr w:type="spellEnd"/>
          <w:r w:rsidRPr="0046347A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0B5782" w:rsidRPr="0046347A" w:rsidRDefault="000B5782" w:rsidP="004E2E49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Arial" w:hAnsi="Arial" w:cs="Arial"/>
              <w:sz w:val="18"/>
            </w:rPr>
            <w:t>00</w:t>
          </w:r>
        </w:p>
      </w:tc>
    </w:tr>
    <w:tr w:rsidR="000B5782" w:rsidRPr="00151E02" w:rsidTr="004E2E49">
      <w:trPr>
        <w:trHeight w:val="417"/>
      </w:trPr>
      <w:tc>
        <w:tcPr>
          <w:tcW w:w="1560" w:type="dxa"/>
          <w:vMerge/>
          <w:vAlign w:val="center"/>
        </w:tcPr>
        <w:p w:rsidR="000B5782" w:rsidRPr="00FD0360" w:rsidRDefault="000B5782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0B5782" w:rsidRPr="00373438" w:rsidRDefault="000B5782" w:rsidP="004E2E49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0B5782" w:rsidRPr="0046347A" w:rsidRDefault="000B5782" w:rsidP="004E2E49">
          <w:pPr>
            <w:pStyle w:val="stbilgi"/>
            <w:rPr>
              <w:sz w:val="18"/>
            </w:rPr>
          </w:pPr>
          <w:proofErr w:type="spellStart"/>
          <w:r w:rsidRPr="0046347A">
            <w:rPr>
              <w:sz w:val="18"/>
            </w:rPr>
            <w:t>Sayfa</w:t>
          </w:r>
          <w:proofErr w:type="spellEnd"/>
        </w:p>
      </w:tc>
      <w:tc>
        <w:tcPr>
          <w:tcW w:w="1268" w:type="dxa"/>
          <w:vAlign w:val="center"/>
        </w:tcPr>
        <w:sdt>
          <w:sdtPr>
            <w:rPr>
              <w:sz w:val="18"/>
              <w:lang w:val="tr-TR"/>
            </w:rPr>
            <w:id w:val="1319834"/>
            <w:docPartObj>
              <w:docPartGallery w:val="Page Numbers (Top of Page)"/>
              <w:docPartUnique/>
            </w:docPartObj>
          </w:sdtPr>
          <w:sdtContent>
            <w:p w:rsidR="000B5782" w:rsidRPr="0046347A" w:rsidRDefault="00DE4E95" w:rsidP="00081346">
              <w:pPr>
                <w:pStyle w:val="stbilgi"/>
                <w:rPr>
                  <w:rFonts w:cstheme="minorBidi"/>
                  <w:sz w:val="18"/>
                </w:rPr>
              </w:pPr>
              <w:r w:rsidRPr="0046347A">
                <w:rPr>
                  <w:sz w:val="18"/>
                  <w:lang w:val="tr-TR"/>
                </w:rPr>
                <w:fldChar w:fldCharType="begin"/>
              </w:r>
              <w:r w:rsidR="000B5782" w:rsidRPr="0046347A">
                <w:rPr>
                  <w:sz w:val="18"/>
                  <w:lang w:val="tr-TR"/>
                </w:rPr>
                <w:instrText xml:space="preserve"> PAGE </w:instrText>
              </w:r>
              <w:r w:rsidRPr="0046347A">
                <w:rPr>
                  <w:sz w:val="18"/>
                  <w:lang w:val="tr-TR"/>
                </w:rPr>
                <w:fldChar w:fldCharType="separate"/>
              </w:r>
              <w:r w:rsidR="00F01418">
                <w:rPr>
                  <w:noProof/>
                  <w:sz w:val="18"/>
                  <w:lang w:val="tr-TR"/>
                </w:rPr>
                <w:t>1</w:t>
              </w:r>
              <w:r w:rsidRPr="0046347A">
                <w:rPr>
                  <w:sz w:val="18"/>
                  <w:lang w:val="tr-TR"/>
                </w:rPr>
                <w:fldChar w:fldCharType="end"/>
              </w:r>
              <w:r w:rsidR="000B5782" w:rsidRPr="0046347A">
                <w:rPr>
                  <w:sz w:val="18"/>
                  <w:lang w:val="tr-TR"/>
                </w:rPr>
                <w:t xml:space="preserve"> / </w:t>
              </w:r>
              <w:r w:rsidRPr="0046347A">
                <w:rPr>
                  <w:sz w:val="18"/>
                  <w:lang w:val="tr-TR"/>
                </w:rPr>
                <w:fldChar w:fldCharType="begin"/>
              </w:r>
              <w:r w:rsidR="000B5782" w:rsidRPr="0046347A">
                <w:rPr>
                  <w:sz w:val="18"/>
                  <w:lang w:val="tr-TR"/>
                </w:rPr>
                <w:instrText xml:space="preserve"> NUMPAGES  </w:instrText>
              </w:r>
              <w:r w:rsidRPr="0046347A">
                <w:rPr>
                  <w:sz w:val="18"/>
                  <w:lang w:val="tr-TR"/>
                </w:rPr>
                <w:fldChar w:fldCharType="separate"/>
              </w:r>
              <w:r w:rsidR="00F01418">
                <w:rPr>
                  <w:noProof/>
                  <w:sz w:val="18"/>
                  <w:lang w:val="tr-TR"/>
                </w:rPr>
                <w:t>2</w:t>
              </w:r>
              <w:r w:rsidRPr="0046347A">
                <w:rPr>
                  <w:sz w:val="18"/>
                  <w:lang w:val="tr-TR"/>
                </w:rPr>
                <w:fldChar w:fldCharType="end"/>
              </w:r>
            </w:p>
          </w:sdtContent>
        </w:sdt>
      </w:tc>
    </w:tr>
  </w:tbl>
  <w:p w:rsidR="00123A0A" w:rsidRPr="000B5782" w:rsidRDefault="00F01418" w:rsidP="000B578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46" w:rsidRDefault="0008134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6F94"/>
    <w:multiLevelType w:val="multilevel"/>
    <w:tmpl w:val="AD147C3E"/>
    <w:lvl w:ilvl="0">
      <w:start w:val="1"/>
      <w:numFmt w:val="decimal"/>
      <w:lvlText w:val="%1."/>
      <w:lvlJc w:val="left"/>
      <w:pPr>
        <w:ind w:left="116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836" w:hanging="360"/>
        <w:jc w:val="right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2.%3."/>
      <w:lvlJc w:val="left"/>
      <w:pPr>
        <w:ind w:left="1532" w:hanging="6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1796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800" w:hanging="600"/>
      </w:pPr>
      <w:rPr>
        <w:rFonts w:hint="default"/>
      </w:rPr>
    </w:lvl>
    <w:lvl w:ilvl="5">
      <w:numFmt w:val="bullet"/>
      <w:lvlText w:val="•"/>
      <w:lvlJc w:val="left"/>
      <w:pPr>
        <w:ind w:left="3063" w:hanging="600"/>
      </w:pPr>
      <w:rPr>
        <w:rFonts w:hint="default"/>
      </w:rPr>
    </w:lvl>
    <w:lvl w:ilvl="6">
      <w:numFmt w:val="bullet"/>
      <w:lvlText w:val="•"/>
      <w:lvlJc w:val="left"/>
      <w:pPr>
        <w:ind w:left="4326" w:hanging="600"/>
      </w:pPr>
      <w:rPr>
        <w:rFonts w:hint="default"/>
      </w:rPr>
    </w:lvl>
    <w:lvl w:ilvl="7">
      <w:numFmt w:val="bullet"/>
      <w:lvlText w:val="•"/>
      <w:lvlJc w:val="left"/>
      <w:pPr>
        <w:ind w:left="5590" w:hanging="600"/>
      </w:pPr>
      <w:rPr>
        <w:rFonts w:hint="default"/>
      </w:rPr>
    </w:lvl>
    <w:lvl w:ilvl="8">
      <w:numFmt w:val="bullet"/>
      <w:lvlText w:val="•"/>
      <w:lvlJc w:val="left"/>
      <w:pPr>
        <w:ind w:left="6853" w:hanging="600"/>
      </w:pPr>
      <w:rPr>
        <w:rFonts w:hint="default"/>
      </w:rPr>
    </w:lvl>
  </w:abstractNum>
  <w:abstractNum w:abstractNumId="1">
    <w:nsid w:val="79297C3B"/>
    <w:multiLevelType w:val="multilevel"/>
    <w:tmpl w:val="FB6E617E"/>
    <w:lvl w:ilvl="0">
      <w:start w:val="2"/>
      <w:numFmt w:val="decimal"/>
      <w:lvlText w:val="%1"/>
      <w:lvlJc w:val="left"/>
      <w:pPr>
        <w:ind w:left="536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43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3367" w:hanging="360"/>
      </w:pPr>
      <w:rPr>
        <w:rFonts w:hint="default"/>
      </w:rPr>
    </w:lvl>
    <w:lvl w:ilvl="6">
      <w:numFmt w:val="bullet"/>
      <w:lvlText w:val="•"/>
      <w:lvlJc w:val="left"/>
      <w:pPr>
        <w:ind w:left="4571" w:hanging="360"/>
      </w:pPr>
      <w:rPr>
        <w:rFonts w:hint="default"/>
      </w:rPr>
    </w:lvl>
    <w:lvl w:ilvl="7">
      <w:numFmt w:val="bullet"/>
      <w:lvlText w:val="•"/>
      <w:lvlJc w:val="left"/>
      <w:pPr>
        <w:ind w:left="5775" w:hanging="360"/>
      </w:pPr>
      <w:rPr>
        <w:rFonts w:hint="default"/>
      </w:rPr>
    </w:lvl>
    <w:lvl w:ilvl="8">
      <w:numFmt w:val="bullet"/>
      <w:lvlText w:val="•"/>
      <w:lvlJc w:val="left"/>
      <w:pPr>
        <w:ind w:left="697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95059"/>
    <w:rsid w:val="00081346"/>
    <w:rsid w:val="000B5782"/>
    <w:rsid w:val="003A4964"/>
    <w:rsid w:val="00495059"/>
    <w:rsid w:val="008A3161"/>
    <w:rsid w:val="00C934FE"/>
    <w:rsid w:val="00DE4E95"/>
    <w:rsid w:val="00E11F6C"/>
    <w:rsid w:val="00F0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5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9505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950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495059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95059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495059"/>
  </w:style>
  <w:style w:type="paragraph" w:styleId="BalonMetni">
    <w:name w:val="Balloon Text"/>
    <w:basedOn w:val="Normal"/>
    <w:link w:val="BalonMetniChar"/>
    <w:uiPriority w:val="99"/>
    <w:semiHidden/>
    <w:unhideWhenUsed/>
    <w:rsid w:val="004950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059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B57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5782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B57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578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</cp:revision>
  <dcterms:created xsi:type="dcterms:W3CDTF">2018-02-28T12:50:00Z</dcterms:created>
  <dcterms:modified xsi:type="dcterms:W3CDTF">2018-05-07T07:53:00Z</dcterms:modified>
</cp:coreProperties>
</file>