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02" w:rsidRDefault="00094F02" w:rsidP="00AB6642">
      <w:pPr>
        <w:spacing w:before="90"/>
      </w:pPr>
    </w:p>
    <w:p w:rsidR="00AB6642" w:rsidRDefault="00AB6642" w:rsidP="00AB6642">
      <w:pPr>
        <w:pStyle w:val="Heading3"/>
        <w:numPr>
          <w:ilvl w:val="1"/>
          <w:numId w:val="1"/>
        </w:numPr>
        <w:tabs>
          <w:tab w:val="left" w:pos="537"/>
        </w:tabs>
        <w:spacing w:before="90"/>
      </w:pPr>
      <w:r>
        <w:t>SÜRTÜNME KAYBI DENEY CİHAZI KULLANIM</w:t>
      </w:r>
      <w:r>
        <w:rPr>
          <w:spacing w:val="-4"/>
        </w:rPr>
        <w:t xml:space="preserve"> </w:t>
      </w:r>
      <w:r>
        <w:t>TALİMATI</w:t>
      </w:r>
    </w:p>
    <w:p w:rsidR="00AB6642" w:rsidRDefault="00AB6642" w:rsidP="00AB6642">
      <w:pPr>
        <w:pStyle w:val="GvdeMetni"/>
        <w:rPr>
          <w:b/>
          <w:sz w:val="26"/>
        </w:rPr>
      </w:pPr>
    </w:p>
    <w:p w:rsidR="00AB6642" w:rsidRDefault="00AB6642" w:rsidP="00AB6642">
      <w:pPr>
        <w:pStyle w:val="GvdeMetni"/>
        <w:spacing w:before="11"/>
        <w:rPr>
          <w:b/>
          <w:sz w:val="21"/>
        </w:rPr>
      </w:pPr>
    </w:p>
    <w:p w:rsidR="00AB6642" w:rsidRDefault="00AB6642" w:rsidP="00AB6642">
      <w:pPr>
        <w:pStyle w:val="ListeParagraf"/>
        <w:numPr>
          <w:ilvl w:val="2"/>
          <w:numId w:val="1"/>
        </w:numPr>
        <w:tabs>
          <w:tab w:val="left" w:pos="746"/>
        </w:tabs>
        <w:spacing w:line="360" w:lineRule="auto"/>
        <w:ind w:right="196" w:firstLine="0"/>
        <w:jc w:val="both"/>
        <w:rPr>
          <w:sz w:val="24"/>
        </w:rPr>
      </w:pPr>
      <w:r>
        <w:rPr>
          <w:b/>
          <w:sz w:val="24"/>
        </w:rPr>
        <w:t xml:space="preserve">AMAÇ: </w:t>
      </w:r>
      <w:r>
        <w:rPr>
          <w:sz w:val="24"/>
        </w:rPr>
        <w:t xml:space="preserve">Son </w:t>
      </w:r>
      <w:proofErr w:type="spellStart"/>
      <w:r>
        <w:rPr>
          <w:sz w:val="24"/>
        </w:rPr>
        <w:t>derece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küçük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borudan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cazibeli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pompajlı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geçirilmesi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borudaki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kaybını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Boruya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çıkışlarda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piyozemtrik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basınçlar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gözlemlenebilmekte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böylece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yükseklikleri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edilebilmektedir</w:t>
      </w:r>
      <w:proofErr w:type="spellEnd"/>
      <w:r>
        <w:rPr>
          <w:sz w:val="24"/>
        </w:rPr>
        <w:t>.</w:t>
      </w:r>
    </w:p>
    <w:p w:rsidR="00AB6642" w:rsidRDefault="00AB6642" w:rsidP="00AB6642">
      <w:pPr>
        <w:pStyle w:val="GvdeMetni"/>
        <w:spacing w:before="11"/>
        <w:rPr>
          <w:sz w:val="20"/>
        </w:rPr>
      </w:pPr>
    </w:p>
    <w:p w:rsidR="00AB6642" w:rsidRDefault="00AB6642" w:rsidP="00AB6642">
      <w:pPr>
        <w:pStyle w:val="ListeParagraf"/>
        <w:numPr>
          <w:ilvl w:val="2"/>
          <w:numId w:val="1"/>
        </w:numPr>
        <w:tabs>
          <w:tab w:val="left" w:pos="734"/>
        </w:tabs>
        <w:spacing w:line="360" w:lineRule="auto"/>
        <w:ind w:right="196" w:firstLine="0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Anabilim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dalını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AB6642" w:rsidRDefault="00AB6642" w:rsidP="00AB6642">
      <w:pPr>
        <w:pStyle w:val="GvdeMetni"/>
        <w:spacing w:before="10"/>
        <w:rPr>
          <w:sz w:val="20"/>
        </w:rPr>
      </w:pPr>
    </w:p>
    <w:p w:rsidR="00AB6642" w:rsidRDefault="00AB6642" w:rsidP="00AB6642">
      <w:pPr>
        <w:pStyle w:val="ListeParagraf"/>
        <w:numPr>
          <w:ilvl w:val="2"/>
          <w:numId w:val="1"/>
        </w:numPr>
        <w:tabs>
          <w:tab w:val="left" w:pos="717"/>
        </w:tabs>
        <w:ind w:left="716" w:hanging="600"/>
        <w:jc w:val="both"/>
        <w:rPr>
          <w:sz w:val="24"/>
        </w:rPr>
      </w:pPr>
      <w:r>
        <w:rPr>
          <w:b/>
          <w:sz w:val="24"/>
        </w:rPr>
        <w:t xml:space="preserve">SORUMLULAR: </w:t>
      </w:r>
    </w:p>
    <w:p w:rsidR="00AB6642" w:rsidRDefault="00AB6642" w:rsidP="00AB6642">
      <w:pPr>
        <w:pStyle w:val="GvdeMetni"/>
        <w:spacing w:before="9"/>
        <w:rPr>
          <w:sz w:val="32"/>
        </w:rPr>
      </w:pPr>
    </w:p>
    <w:p w:rsidR="00AB6642" w:rsidRDefault="00AB6642" w:rsidP="00AB6642">
      <w:pPr>
        <w:pStyle w:val="Heading3"/>
        <w:numPr>
          <w:ilvl w:val="2"/>
          <w:numId w:val="1"/>
        </w:numPr>
        <w:tabs>
          <w:tab w:val="left" w:pos="717"/>
        </w:tabs>
        <w:ind w:left="716" w:hanging="600"/>
        <w:jc w:val="both"/>
      </w:pPr>
      <w:r>
        <w:t>UYGULAMA:</w:t>
      </w:r>
    </w:p>
    <w:p w:rsidR="00AB6642" w:rsidRDefault="00AB6642" w:rsidP="00AB6642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41"/>
        <w:rPr>
          <w:sz w:val="24"/>
        </w:rPr>
      </w:pPr>
      <w:proofErr w:type="spellStart"/>
      <w:r>
        <w:rPr>
          <w:sz w:val="24"/>
        </w:rPr>
        <w:t>Volumetrik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tankı</w:t>
      </w:r>
      <w:proofErr w:type="spellEnd"/>
      <w:r>
        <w:rPr>
          <w:sz w:val="24"/>
        </w:rPr>
        <w:t xml:space="preserve"> 220 volt prize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takınız</w:t>
      </w:r>
      <w:proofErr w:type="spellEnd"/>
      <w:r>
        <w:rPr>
          <w:sz w:val="24"/>
        </w:rPr>
        <w:t>.</w:t>
      </w:r>
    </w:p>
    <w:p w:rsidR="00AB6642" w:rsidRDefault="00AB6642" w:rsidP="00AB6642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6"/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hidrolik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giriş-çıkış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ederek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bağlayınız</w:t>
      </w:r>
      <w:proofErr w:type="spellEnd"/>
      <w:r>
        <w:rPr>
          <w:sz w:val="24"/>
        </w:rPr>
        <w:t>.</w:t>
      </w:r>
    </w:p>
    <w:p w:rsidR="00AB6642" w:rsidRDefault="00AB6642" w:rsidP="00AB6642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8"/>
        <w:rPr>
          <w:sz w:val="24"/>
        </w:rPr>
      </w:pPr>
      <w:proofErr w:type="spellStart"/>
      <w:r>
        <w:rPr>
          <w:sz w:val="24"/>
        </w:rPr>
        <w:t>Tankı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çalıştırıp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suyun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düzeneğinden</w:t>
      </w:r>
      <w:proofErr w:type="spellEnd"/>
      <w:r>
        <w:rPr>
          <w:sz w:val="24"/>
        </w:rPr>
        <w:t xml:space="preserve"> tam </w:t>
      </w:r>
      <w:proofErr w:type="spellStart"/>
      <w:r>
        <w:rPr>
          <w:sz w:val="24"/>
        </w:rPr>
        <w:t>devir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döndüğünü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görünüz</w:t>
      </w:r>
      <w:proofErr w:type="spellEnd"/>
      <w:r>
        <w:rPr>
          <w:sz w:val="24"/>
        </w:rPr>
        <w:t>.</w:t>
      </w:r>
    </w:p>
    <w:p w:rsidR="00AB6642" w:rsidRDefault="00AB6642" w:rsidP="00AB6642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8" w:line="350" w:lineRule="auto"/>
        <w:ind w:right="817"/>
        <w:rPr>
          <w:sz w:val="24"/>
        </w:rPr>
      </w:pPr>
      <w:proofErr w:type="spellStart"/>
      <w:r>
        <w:rPr>
          <w:sz w:val="24"/>
        </w:rPr>
        <w:t>Piyezometre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borularındaki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eşitlemek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bütün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kapattıktan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seviyelerini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eşitleyiniz</w:t>
      </w:r>
      <w:proofErr w:type="spellEnd"/>
      <w:r>
        <w:rPr>
          <w:sz w:val="24"/>
        </w:rPr>
        <w:t>.</w:t>
      </w:r>
    </w:p>
    <w:p w:rsidR="00AB6642" w:rsidRDefault="00AB6642" w:rsidP="00AB6642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3" w:line="348" w:lineRule="auto"/>
        <w:ind w:right="202"/>
        <w:rPr>
          <w:sz w:val="24"/>
        </w:rPr>
      </w:pPr>
      <w:r>
        <w:rPr>
          <w:sz w:val="24"/>
        </w:rPr>
        <w:t xml:space="preserve">Tank </w:t>
      </w:r>
      <w:proofErr w:type="spellStart"/>
      <w:r>
        <w:rPr>
          <w:sz w:val="24"/>
        </w:rPr>
        <w:t>çalıştırılıp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ayarlandıktan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boruya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çıkışlardaki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piyozometrik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basınç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yüksekliklerini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hesaplayınız</w:t>
      </w:r>
      <w:proofErr w:type="spellEnd"/>
      <w:r>
        <w:rPr>
          <w:sz w:val="24"/>
        </w:rPr>
        <w:t>.</w:t>
      </w:r>
    </w:p>
    <w:p w:rsidR="00AB6642" w:rsidRDefault="00AB6642" w:rsidP="00AB6642">
      <w:pPr>
        <w:pStyle w:val="ListeParagraf"/>
        <w:numPr>
          <w:ilvl w:val="3"/>
          <w:numId w:val="1"/>
        </w:numPr>
        <w:tabs>
          <w:tab w:val="left" w:pos="836"/>
          <w:tab w:val="left" w:pos="837"/>
        </w:tabs>
        <w:spacing w:before="18"/>
        <w:rPr>
          <w:sz w:val="24"/>
        </w:rPr>
      </w:pPr>
      <w:proofErr w:type="spellStart"/>
      <w:r>
        <w:rPr>
          <w:sz w:val="24"/>
        </w:rPr>
        <w:t>Kayıp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noktalar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hesaplamaları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yapınız</w:t>
      </w:r>
      <w:proofErr w:type="spellEnd"/>
      <w:r>
        <w:rPr>
          <w:sz w:val="24"/>
        </w:rPr>
        <w:t>.</w:t>
      </w:r>
    </w:p>
    <w:p w:rsidR="003A4964" w:rsidRDefault="003A4964"/>
    <w:sectPr w:rsidR="003A4964" w:rsidSect="00094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349" w:rsidRDefault="00384349" w:rsidP="00384349">
      <w:r>
        <w:separator/>
      </w:r>
    </w:p>
  </w:endnote>
  <w:endnote w:type="continuationSeparator" w:id="1">
    <w:p w:rsidR="00384349" w:rsidRDefault="00384349" w:rsidP="0038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7D" w:rsidRDefault="005456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094F02" w:rsidRPr="003445DC" w:rsidTr="003C49BA">
      <w:trPr>
        <w:trHeight w:val="747"/>
      </w:trPr>
      <w:tc>
        <w:tcPr>
          <w:tcW w:w="3259" w:type="dxa"/>
          <w:shd w:val="clear" w:color="auto" w:fill="auto"/>
        </w:tcPr>
        <w:p w:rsidR="00094F02" w:rsidRPr="00192AC1" w:rsidRDefault="00094F02" w:rsidP="003C49BA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094F02" w:rsidRPr="00192AC1" w:rsidRDefault="00094F02" w:rsidP="003C49BA">
          <w:pPr>
            <w:pStyle w:val="Altbilgi"/>
            <w:jc w:val="center"/>
            <w:rPr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094F02" w:rsidRPr="00192AC1" w:rsidRDefault="00094F02" w:rsidP="003C49BA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123A0A" w:rsidRDefault="002E2F84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7D" w:rsidRDefault="005456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349" w:rsidRDefault="00384349" w:rsidP="00384349">
      <w:r>
        <w:separator/>
      </w:r>
    </w:p>
  </w:footnote>
  <w:footnote w:type="continuationSeparator" w:id="1">
    <w:p w:rsidR="00384349" w:rsidRDefault="00384349" w:rsidP="0038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7D" w:rsidRDefault="0054567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094F02" w:rsidRPr="00E91F69" w:rsidTr="003C49BA">
      <w:trPr>
        <w:trHeight w:val="312"/>
      </w:trPr>
      <w:tc>
        <w:tcPr>
          <w:tcW w:w="1560" w:type="dxa"/>
          <w:vMerge w:val="restart"/>
          <w:vAlign w:val="center"/>
        </w:tcPr>
        <w:p w:rsidR="00094F02" w:rsidRPr="00E91F69" w:rsidRDefault="00094F02" w:rsidP="003C49BA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38100</wp:posOffset>
                </wp:positionV>
                <wp:extent cx="713740" cy="784860"/>
                <wp:effectExtent l="19050" t="0" r="0" b="0"/>
                <wp:wrapNone/>
                <wp:docPr id="3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094F02" w:rsidRPr="00E91F69" w:rsidRDefault="00094F02" w:rsidP="003C49BA">
          <w:pPr>
            <w:jc w:val="center"/>
            <w:rPr>
              <w:b/>
            </w:rPr>
          </w:pPr>
          <w:r w:rsidRPr="0054567D">
            <w:rPr>
              <w:b/>
              <w:sz w:val="28"/>
              <w:szCs w:val="30"/>
            </w:rPr>
            <w:t>SÜRTÜNME KAYBI DENEY CİHAZI KULLANMA TALİMATI</w:t>
          </w:r>
        </w:p>
      </w:tc>
      <w:tc>
        <w:tcPr>
          <w:tcW w:w="1488" w:type="dxa"/>
          <w:vAlign w:val="center"/>
        </w:tcPr>
        <w:p w:rsidR="00094F02" w:rsidRPr="00E91F69" w:rsidRDefault="00094F02" w:rsidP="003C49BA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Doküman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094F02" w:rsidRPr="00E91F69" w:rsidRDefault="00094F02" w:rsidP="003C49BA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TL-3</w:t>
          </w:r>
          <w:r>
            <w:rPr>
              <w:sz w:val="20"/>
              <w:szCs w:val="20"/>
            </w:rPr>
            <w:t>46</w:t>
          </w:r>
        </w:p>
      </w:tc>
    </w:tr>
    <w:tr w:rsidR="00094F02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094F02" w:rsidRPr="00E91F69" w:rsidRDefault="00094F02" w:rsidP="003C49BA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094F02" w:rsidRPr="00E91F69" w:rsidRDefault="00094F02" w:rsidP="003C49BA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094F02" w:rsidRPr="00E91F69" w:rsidRDefault="00094F02" w:rsidP="003C49BA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İlk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Yayın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094F02" w:rsidRPr="00E91F69" w:rsidRDefault="00094F02" w:rsidP="003C49BA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094F02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094F02" w:rsidRPr="00E91F69" w:rsidRDefault="00094F02" w:rsidP="003C49BA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094F02" w:rsidRPr="00E91F69" w:rsidRDefault="00094F02" w:rsidP="003C49BA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094F02" w:rsidRPr="00E91F69" w:rsidRDefault="00094F02" w:rsidP="003C49BA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</w:t>
          </w:r>
          <w:proofErr w:type="spellStart"/>
          <w:r w:rsidRPr="00E91F69">
            <w:rPr>
              <w:sz w:val="18"/>
            </w:rPr>
            <w:t>Tarihi</w:t>
          </w:r>
          <w:proofErr w:type="spellEnd"/>
        </w:p>
      </w:tc>
      <w:tc>
        <w:tcPr>
          <w:tcW w:w="1268" w:type="dxa"/>
          <w:vAlign w:val="center"/>
        </w:tcPr>
        <w:p w:rsidR="00094F02" w:rsidRPr="00E91F69" w:rsidRDefault="00094F02" w:rsidP="003C49BA">
          <w:pPr>
            <w:pStyle w:val="stbilgi"/>
            <w:rPr>
              <w:sz w:val="18"/>
            </w:rPr>
          </w:pPr>
        </w:p>
      </w:tc>
    </w:tr>
    <w:tr w:rsidR="00094F02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094F02" w:rsidRPr="00E91F69" w:rsidRDefault="00094F02" w:rsidP="003C49BA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094F02" w:rsidRPr="00E91F69" w:rsidRDefault="00094F02" w:rsidP="003C49BA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094F02" w:rsidRPr="00E91F69" w:rsidRDefault="00094F02" w:rsidP="003C49BA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Revizyon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094F02" w:rsidRPr="00E91F69" w:rsidRDefault="00094F02" w:rsidP="003C49BA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094F02" w:rsidRPr="00E91F69" w:rsidTr="003C49BA">
      <w:trPr>
        <w:trHeight w:val="417"/>
      </w:trPr>
      <w:tc>
        <w:tcPr>
          <w:tcW w:w="1560" w:type="dxa"/>
          <w:vMerge/>
          <w:vAlign w:val="center"/>
        </w:tcPr>
        <w:p w:rsidR="00094F02" w:rsidRPr="00E91F69" w:rsidRDefault="00094F02" w:rsidP="003C49BA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094F02" w:rsidRPr="00E91F69" w:rsidRDefault="00094F02" w:rsidP="003C49BA">
          <w:pPr>
            <w:pStyle w:val="stbilgi"/>
            <w:jc w:val="center"/>
          </w:pPr>
        </w:p>
      </w:tc>
      <w:tc>
        <w:tcPr>
          <w:tcW w:w="1488" w:type="dxa"/>
          <w:vAlign w:val="center"/>
        </w:tcPr>
        <w:p w:rsidR="00094F02" w:rsidRPr="00E91F69" w:rsidRDefault="00094F02" w:rsidP="003C49BA">
          <w:pPr>
            <w:pStyle w:val="stbilgi"/>
            <w:rPr>
              <w:sz w:val="18"/>
            </w:rPr>
          </w:pPr>
          <w:proofErr w:type="spellStart"/>
          <w:r w:rsidRPr="00E91F69">
            <w:rPr>
              <w:sz w:val="18"/>
            </w:rPr>
            <w:t>Sayfa</w:t>
          </w:r>
          <w:proofErr w:type="spellEnd"/>
          <w:r w:rsidRPr="00E91F69">
            <w:rPr>
              <w:sz w:val="18"/>
            </w:rPr>
            <w:t xml:space="preserve"> No</w:t>
          </w:r>
        </w:p>
      </w:tc>
      <w:tc>
        <w:tcPr>
          <w:tcW w:w="1268" w:type="dxa"/>
          <w:vAlign w:val="center"/>
        </w:tcPr>
        <w:p w:rsidR="00094F02" w:rsidRPr="00E91F69" w:rsidRDefault="002770B1" w:rsidP="003C49BA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094F02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2E2F84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094F02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094F02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2E2F84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</w:p>
      </w:tc>
    </w:tr>
  </w:tbl>
  <w:p w:rsidR="00123A0A" w:rsidRDefault="002E2F84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7D" w:rsidRDefault="0054567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7C00"/>
    <w:multiLevelType w:val="multilevel"/>
    <w:tmpl w:val="8012DABA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976" w:hanging="360"/>
      </w:pPr>
      <w:rPr>
        <w:rFonts w:hint="default"/>
      </w:rPr>
    </w:lvl>
    <w:lvl w:ilvl="5">
      <w:numFmt w:val="bullet"/>
      <w:lvlText w:val="•"/>
      <w:lvlJc w:val="left"/>
      <w:pPr>
        <w:ind w:left="4044" w:hanging="360"/>
      </w:pPr>
      <w:rPr>
        <w:rFonts w:hint="default"/>
      </w:rPr>
    </w:lvl>
    <w:lvl w:ilvl="6">
      <w:numFmt w:val="bullet"/>
      <w:lvlText w:val="•"/>
      <w:lvlJc w:val="left"/>
      <w:pPr>
        <w:ind w:left="5113" w:hanging="360"/>
      </w:pPr>
      <w:rPr>
        <w:rFonts w:hint="default"/>
      </w:rPr>
    </w:lvl>
    <w:lvl w:ilvl="7">
      <w:numFmt w:val="bullet"/>
      <w:lvlText w:val="•"/>
      <w:lvlJc w:val="left"/>
      <w:pPr>
        <w:ind w:left="6181" w:hanging="360"/>
      </w:pPr>
      <w:rPr>
        <w:rFonts w:hint="default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B6642"/>
    <w:rsid w:val="00066814"/>
    <w:rsid w:val="00094F02"/>
    <w:rsid w:val="002770B1"/>
    <w:rsid w:val="002E2F84"/>
    <w:rsid w:val="00367ADF"/>
    <w:rsid w:val="00384349"/>
    <w:rsid w:val="003A4964"/>
    <w:rsid w:val="00415162"/>
    <w:rsid w:val="00523B5A"/>
    <w:rsid w:val="0054567D"/>
    <w:rsid w:val="00AB6642"/>
    <w:rsid w:val="00C7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6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6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B664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B66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AB6642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B6642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AB6642"/>
  </w:style>
  <w:style w:type="paragraph" w:styleId="BalonMetni">
    <w:name w:val="Balloon Text"/>
    <w:basedOn w:val="Normal"/>
    <w:link w:val="BalonMetniChar"/>
    <w:uiPriority w:val="99"/>
    <w:semiHidden/>
    <w:unhideWhenUsed/>
    <w:rsid w:val="00AB66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642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4F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4F02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4F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4F0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7</cp:revision>
  <dcterms:created xsi:type="dcterms:W3CDTF">2018-02-28T11:37:00Z</dcterms:created>
  <dcterms:modified xsi:type="dcterms:W3CDTF">2018-05-07T07:50:00Z</dcterms:modified>
</cp:coreProperties>
</file>