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5F" w:rsidRDefault="008E245F" w:rsidP="008E245F">
      <w:pPr>
        <w:pStyle w:val="GvdeMetni"/>
        <w:spacing w:before="8"/>
        <w:rPr>
          <w:sz w:val="15"/>
        </w:rPr>
      </w:pPr>
    </w:p>
    <w:p w:rsidR="008E245F" w:rsidRDefault="008E245F" w:rsidP="008E245F">
      <w:pPr>
        <w:pStyle w:val="Heading3"/>
        <w:numPr>
          <w:ilvl w:val="1"/>
          <w:numId w:val="2"/>
        </w:numPr>
        <w:tabs>
          <w:tab w:val="left" w:pos="837"/>
        </w:tabs>
        <w:spacing w:before="90"/>
        <w:jc w:val="left"/>
      </w:pPr>
      <w:r>
        <w:t>LABORATUVAR KULLANIM</w:t>
      </w:r>
      <w:r>
        <w:rPr>
          <w:spacing w:val="-3"/>
        </w:rPr>
        <w:t xml:space="preserve"> </w:t>
      </w:r>
      <w:r>
        <w:t>TALİMATI</w:t>
      </w:r>
    </w:p>
    <w:p w:rsidR="008E245F" w:rsidRDefault="008E245F" w:rsidP="008E245F">
      <w:pPr>
        <w:pStyle w:val="ListeParagraf"/>
        <w:numPr>
          <w:ilvl w:val="2"/>
          <w:numId w:val="2"/>
        </w:numPr>
        <w:tabs>
          <w:tab w:val="left" w:pos="1532"/>
          <w:tab w:val="left" w:pos="1533"/>
        </w:tabs>
        <w:rPr>
          <w:b/>
          <w:sz w:val="24"/>
        </w:rPr>
      </w:pPr>
      <w:r>
        <w:rPr>
          <w:b/>
          <w:sz w:val="24"/>
        </w:rPr>
        <w:t>AMAÇ:</w:t>
      </w:r>
    </w:p>
    <w:p w:rsidR="008E245F" w:rsidRDefault="008E245F" w:rsidP="008E245F">
      <w:pPr>
        <w:pStyle w:val="GvdeMetni"/>
        <w:spacing w:line="360" w:lineRule="auto"/>
        <w:ind w:left="824" w:right="195"/>
        <w:jc w:val="both"/>
      </w:pPr>
      <w:proofErr w:type="gramStart"/>
      <w:r>
        <w:t xml:space="preserve">Bu </w:t>
      </w:r>
      <w:proofErr w:type="spellStart"/>
      <w:r>
        <w:t>talimat</w:t>
      </w:r>
      <w:proofErr w:type="spellEnd"/>
      <w:r>
        <w:t xml:space="preserve">,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İnşaat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Hidrolik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deney</w:t>
      </w:r>
      <w:proofErr w:type="spellEnd"/>
      <w:r>
        <w:t xml:space="preserve"> </w:t>
      </w:r>
      <w:proofErr w:type="spellStart"/>
      <w:r>
        <w:t>aletlerinin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odasının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kontrolünde</w:t>
      </w:r>
      <w:proofErr w:type="spellEnd"/>
      <w:r>
        <w:t xml:space="preserve"> </w:t>
      </w:r>
      <w:proofErr w:type="spellStart"/>
      <w:r>
        <w:t>uyulması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tanımlamak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  <w:proofErr w:type="gramEnd"/>
    </w:p>
    <w:p w:rsidR="008E245F" w:rsidRDefault="008E245F" w:rsidP="008E245F">
      <w:pPr>
        <w:pStyle w:val="GvdeMetni"/>
        <w:spacing w:before="1"/>
      </w:pPr>
    </w:p>
    <w:p w:rsidR="008E245F" w:rsidRDefault="008E245F" w:rsidP="008E245F">
      <w:pPr>
        <w:pStyle w:val="Heading3"/>
        <w:numPr>
          <w:ilvl w:val="2"/>
          <w:numId w:val="2"/>
        </w:numPr>
        <w:tabs>
          <w:tab w:val="left" w:pos="1532"/>
          <w:tab w:val="left" w:pos="1533"/>
        </w:tabs>
      </w:pPr>
      <w:r>
        <w:t>KAPSAM:</w:t>
      </w:r>
    </w:p>
    <w:p w:rsidR="008E245F" w:rsidRDefault="008E245F" w:rsidP="008E245F">
      <w:pPr>
        <w:pStyle w:val="GvdeMetni"/>
        <w:spacing w:before="137" w:line="360" w:lineRule="auto"/>
        <w:ind w:left="824" w:right="173"/>
        <w:jc w:val="both"/>
      </w:pPr>
      <w:r>
        <w:t xml:space="preserve">Bu </w:t>
      </w:r>
      <w:proofErr w:type="spellStart"/>
      <w:r>
        <w:t>talimat</w:t>
      </w:r>
      <w:proofErr w:type="spellEnd"/>
      <w:r>
        <w:t xml:space="preserve">, </w:t>
      </w:r>
      <w:proofErr w:type="spellStart"/>
      <w:r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, </w:t>
      </w:r>
      <w:proofErr w:type="spellStart"/>
      <w:r>
        <w:t>İnşaat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Hidrolik</w:t>
      </w:r>
      <w:proofErr w:type="spellEnd"/>
      <w:r>
        <w:t xml:space="preserve"> </w:t>
      </w:r>
      <w:proofErr w:type="spellStart"/>
      <w:r>
        <w:t>Laboratuvarında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5 </w:t>
      </w:r>
      <w:proofErr w:type="spellStart"/>
      <w:r>
        <w:t>metrelik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, </w:t>
      </w:r>
      <w:proofErr w:type="spellStart"/>
      <w:r>
        <w:t>hacimsel</w:t>
      </w:r>
      <w:proofErr w:type="spellEnd"/>
      <w:r>
        <w:t xml:space="preserve"> tank, </w:t>
      </w:r>
      <w:proofErr w:type="spellStart"/>
      <w:r>
        <w:t>venturimetre</w:t>
      </w:r>
      <w:proofErr w:type="spellEnd"/>
      <w:r>
        <w:t xml:space="preserve">, </w:t>
      </w:r>
      <w:proofErr w:type="spellStart"/>
      <w:r>
        <w:t>borulardaki</w:t>
      </w:r>
      <w:proofErr w:type="spellEnd"/>
      <w:r>
        <w:t xml:space="preserve"> </w:t>
      </w:r>
      <w:proofErr w:type="spellStart"/>
      <w:r>
        <w:t>sürtünme</w:t>
      </w:r>
      <w:proofErr w:type="spellEnd"/>
      <w:r>
        <w:t xml:space="preserve"> </w:t>
      </w:r>
      <w:proofErr w:type="spellStart"/>
      <w:r>
        <w:t>kaybı</w:t>
      </w:r>
      <w:proofErr w:type="spellEnd"/>
      <w:r>
        <w:t xml:space="preserve">, </w:t>
      </w:r>
      <w:proofErr w:type="spellStart"/>
      <w:r>
        <w:t>boru</w:t>
      </w:r>
      <w:proofErr w:type="spellEnd"/>
      <w:r>
        <w:t xml:space="preserve"> </w:t>
      </w:r>
      <w:proofErr w:type="spellStart"/>
      <w:r>
        <w:t>sistemlerindeki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kaybı</w:t>
      </w:r>
      <w:proofErr w:type="spellEnd"/>
      <w:r>
        <w:t xml:space="preserve"> </w:t>
      </w:r>
      <w:proofErr w:type="spellStart"/>
      <w:r>
        <w:t>deney</w:t>
      </w:r>
      <w:proofErr w:type="spellEnd"/>
      <w:r>
        <w:t xml:space="preserve"> </w:t>
      </w:r>
      <w:proofErr w:type="spellStart"/>
      <w:r>
        <w:t>aletlerini</w:t>
      </w:r>
      <w:proofErr w:type="spellEnd"/>
      <w:r>
        <w:t xml:space="preserve"> </w:t>
      </w:r>
      <w:proofErr w:type="spellStart"/>
      <w:r>
        <w:t>kapsamaktadır</w:t>
      </w:r>
      <w:proofErr w:type="spellEnd"/>
      <w:r>
        <w:t>.</w:t>
      </w:r>
    </w:p>
    <w:p w:rsidR="008E245F" w:rsidRDefault="008E245F" w:rsidP="008E245F">
      <w:pPr>
        <w:pStyle w:val="GvdeMetni"/>
      </w:pPr>
    </w:p>
    <w:p w:rsidR="008E245F" w:rsidRDefault="008E245F" w:rsidP="008E245F">
      <w:pPr>
        <w:pStyle w:val="Heading3"/>
        <w:numPr>
          <w:ilvl w:val="2"/>
          <w:numId w:val="2"/>
        </w:numPr>
        <w:tabs>
          <w:tab w:val="left" w:pos="1533"/>
        </w:tabs>
        <w:spacing w:before="1"/>
        <w:jc w:val="both"/>
      </w:pPr>
      <w:r>
        <w:t>SORUMLULAR:</w:t>
      </w:r>
    </w:p>
    <w:p w:rsidR="008E245F" w:rsidRDefault="008E245F" w:rsidP="008E245F">
      <w:pPr>
        <w:pStyle w:val="GvdeMetni"/>
        <w:ind w:left="836"/>
        <w:jc w:val="both"/>
      </w:pPr>
      <w:proofErr w:type="spellStart"/>
      <w:proofErr w:type="gramStart"/>
      <w:r>
        <w:t>Doç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Dr. </w:t>
      </w:r>
      <w:proofErr w:type="spellStart"/>
      <w:r>
        <w:t>Nermin</w:t>
      </w:r>
      <w:proofErr w:type="spellEnd"/>
      <w:r>
        <w:t xml:space="preserve"> ŞARLAK, </w:t>
      </w:r>
      <w:proofErr w:type="spell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Soner</w:t>
      </w:r>
      <w:proofErr w:type="spellEnd"/>
      <w:r>
        <w:t xml:space="preserve"> </w:t>
      </w:r>
      <w:proofErr w:type="spellStart"/>
      <w:r>
        <w:t>Çağatay</w:t>
      </w:r>
      <w:proofErr w:type="spellEnd"/>
      <w:r>
        <w:t xml:space="preserve"> BAĞÇACI</w:t>
      </w:r>
    </w:p>
    <w:p w:rsidR="008E245F" w:rsidRDefault="008E245F" w:rsidP="008E245F">
      <w:pPr>
        <w:pStyle w:val="GvdeMetni"/>
        <w:spacing w:before="11"/>
        <w:rPr>
          <w:sz w:val="23"/>
        </w:rPr>
      </w:pPr>
    </w:p>
    <w:p w:rsidR="008E245F" w:rsidRDefault="008E245F" w:rsidP="008E245F">
      <w:pPr>
        <w:pStyle w:val="Heading3"/>
        <w:numPr>
          <w:ilvl w:val="2"/>
          <w:numId w:val="2"/>
        </w:numPr>
        <w:tabs>
          <w:tab w:val="left" w:pos="1533"/>
        </w:tabs>
        <w:jc w:val="both"/>
      </w:pPr>
      <w:r>
        <w:t>KURALLAR</w:t>
      </w:r>
    </w:p>
    <w:p w:rsidR="008E245F" w:rsidRDefault="008E245F" w:rsidP="008E245F">
      <w:pPr>
        <w:pStyle w:val="ListeParagraf"/>
        <w:numPr>
          <w:ilvl w:val="3"/>
          <w:numId w:val="2"/>
        </w:numPr>
        <w:tabs>
          <w:tab w:val="left" w:pos="1797"/>
        </w:tabs>
        <w:rPr>
          <w:b/>
          <w:sz w:val="24"/>
        </w:rPr>
      </w:pPr>
      <w:r>
        <w:rPr>
          <w:b/>
          <w:sz w:val="24"/>
        </w:rPr>
        <w:t>ERİŞİM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" w:line="350" w:lineRule="auto"/>
        <w:ind w:right="201" w:hanging="12"/>
        <w:jc w:val="both"/>
        <w:rPr>
          <w:sz w:val="24"/>
        </w:rPr>
      </w:pPr>
      <w:proofErr w:type="spellStart"/>
      <w:r>
        <w:rPr>
          <w:sz w:val="24"/>
        </w:rPr>
        <w:t>Yetkisiz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erişimin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engellenmesi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amacıyla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kilitli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tutulmalıdır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2" w:line="355" w:lineRule="auto"/>
        <w:ind w:right="199" w:hanging="12"/>
        <w:jc w:val="both"/>
        <w:rPr>
          <w:sz w:val="24"/>
        </w:rPr>
      </w:pPr>
      <w:proofErr w:type="spellStart"/>
      <w:r>
        <w:rPr>
          <w:sz w:val="24"/>
        </w:rPr>
        <w:t>Laboratuvara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girmeye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onarım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danışmanlık</w:t>
      </w:r>
      <w:proofErr w:type="spellEnd"/>
      <w:r>
        <w:rPr>
          <w:sz w:val="24"/>
        </w:rPr>
        <w:t xml:space="preserve"> vb.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önlemler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gözetiminde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çalışması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sağlanır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8" w:line="350" w:lineRule="auto"/>
        <w:ind w:right="198" w:hanging="12"/>
        <w:jc w:val="both"/>
        <w:rPr>
          <w:sz w:val="24"/>
        </w:rPr>
      </w:pPr>
      <w:proofErr w:type="spellStart"/>
      <w:r>
        <w:rPr>
          <w:sz w:val="24"/>
        </w:rPr>
        <w:t>Palto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çanta</w:t>
      </w:r>
      <w:proofErr w:type="spellEnd"/>
      <w:r>
        <w:rPr>
          <w:sz w:val="24"/>
        </w:rPr>
        <w:t xml:space="preserve"> vb. </w:t>
      </w:r>
      <w:proofErr w:type="spellStart"/>
      <w:r>
        <w:rPr>
          <w:sz w:val="24"/>
        </w:rPr>
        <w:t>kişisel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eşyalar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muhafaza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edilmelidir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" w:line="350" w:lineRule="auto"/>
        <w:ind w:right="191" w:hanging="12"/>
        <w:jc w:val="both"/>
        <w:rPr>
          <w:sz w:val="24"/>
        </w:rPr>
      </w:pPr>
      <w:proofErr w:type="spellStart"/>
      <w:r>
        <w:rPr>
          <w:sz w:val="24"/>
        </w:rPr>
        <w:t>Laboratuvarda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içmek</w:t>
      </w:r>
      <w:proofErr w:type="spellEnd"/>
      <w:r>
        <w:rPr>
          <w:sz w:val="24"/>
        </w:rPr>
        <w:t xml:space="preserve">,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yiyecek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yemek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içmek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laboratuvar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yasaktır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" w:line="350" w:lineRule="auto"/>
        <w:ind w:right="197" w:hanging="12"/>
        <w:jc w:val="both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mutlaka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düzenli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bırakılmalıdır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" w:line="350" w:lineRule="auto"/>
        <w:ind w:right="199" w:hanging="12"/>
        <w:jc w:val="both"/>
        <w:rPr>
          <w:sz w:val="24"/>
        </w:rPr>
      </w:pPr>
      <w:proofErr w:type="spellStart"/>
      <w:r>
        <w:rPr>
          <w:sz w:val="24"/>
        </w:rPr>
        <w:t>Laboratuvarda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çalışıldığı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ekipmanlar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bildirilmelidir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4"/>
        <w:ind w:hanging="12"/>
        <w:jc w:val="both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atıklar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atılmalıdır</w:t>
      </w:r>
      <w:proofErr w:type="spellEnd"/>
      <w:r>
        <w:rPr>
          <w:sz w:val="24"/>
        </w:rPr>
        <w:t>.</w:t>
      </w:r>
    </w:p>
    <w:p w:rsidR="008E245F" w:rsidRDefault="008E245F" w:rsidP="008E245F">
      <w:pPr>
        <w:jc w:val="both"/>
        <w:rPr>
          <w:sz w:val="24"/>
        </w:rPr>
        <w:sectPr w:rsidR="008E245F" w:rsidSect="00611F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620" w:right="1220" w:bottom="1660" w:left="1300" w:header="982" w:footer="653" w:gutter="0"/>
          <w:cols w:space="708"/>
        </w:sectPr>
      </w:pPr>
    </w:p>
    <w:p w:rsidR="008E245F" w:rsidRDefault="008E245F" w:rsidP="008E245F">
      <w:pPr>
        <w:pStyle w:val="GvdeMetni"/>
        <w:spacing w:before="11"/>
        <w:rPr>
          <w:sz w:val="14"/>
        </w:rPr>
      </w:pP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00"/>
        <w:ind w:hanging="12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analiz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planlanmalıdır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8" w:line="350" w:lineRule="auto"/>
        <w:ind w:right="195" w:hanging="12"/>
        <w:rPr>
          <w:sz w:val="24"/>
        </w:rPr>
      </w:pP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çalışılmamalıdır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" w:line="350" w:lineRule="auto"/>
        <w:ind w:right="201" w:hanging="12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hazırlanırken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kullanılırken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ıslak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edilmelidir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2" w:line="350" w:lineRule="auto"/>
        <w:ind w:right="201" w:hanging="12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problem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sorumlusuna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bildirilmelidir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GvdeMetni"/>
        <w:spacing w:before="1"/>
        <w:rPr>
          <w:sz w:val="23"/>
        </w:rPr>
      </w:pPr>
    </w:p>
    <w:p w:rsidR="008E245F" w:rsidRDefault="008E245F" w:rsidP="008E245F">
      <w:pPr>
        <w:pStyle w:val="Heading3"/>
        <w:ind w:left="1198" w:firstLine="0"/>
      </w:pPr>
      <w:r>
        <w:t>1.4.2 FİZİKSEL GÜVENLİK İÇİN ALINAN ÖNLEMLER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9" w:line="357" w:lineRule="auto"/>
        <w:ind w:left="968" w:right="195"/>
        <w:jc w:val="both"/>
        <w:rPr>
          <w:sz w:val="24"/>
        </w:rPr>
      </w:pP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arızalarına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Fakültesinin</w:t>
      </w:r>
      <w:proofErr w:type="spellEnd"/>
      <w:r>
        <w:rPr>
          <w:sz w:val="24"/>
        </w:rPr>
        <w:t xml:space="preserve"> alt </w:t>
      </w:r>
      <w:proofErr w:type="spellStart"/>
      <w:r>
        <w:rPr>
          <w:sz w:val="24"/>
        </w:rPr>
        <w:t>yapısında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jeneratörlerle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desteklense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laboratuvarda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aletlerine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motorların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elektrikle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sıkıntı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ihtimale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görmemeleri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tutulmalıdır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4" w:line="348" w:lineRule="auto"/>
        <w:ind w:left="968" w:right="196"/>
        <w:rPr>
          <w:sz w:val="24"/>
        </w:rPr>
      </w:pP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havalandırma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rutubet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periyodik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havalandırılmalıdır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8" w:line="350" w:lineRule="auto"/>
        <w:ind w:left="968" w:right="197"/>
        <w:rPr>
          <w:sz w:val="24"/>
        </w:rPr>
      </w:pP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icra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aşamalarında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fayans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ıslanabileceği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önlemler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alınmalıdır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" w:line="355" w:lineRule="auto"/>
        <w:ind w:left="968" w:right="196"/>
        <w:jc w:val="both"/>
        <w:rPr>
          <w:sz w:val="24"/>
        </w:rPr>
      </w:pP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kanalizasyon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borularının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yapılarak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sağlanır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Heading3"/>
        <w:spacing w:before="6"/>
        <w:ind w:left="1194" w:firstLine="0"/>
      </w:pPr>
      <w:r>
        <w:t>1.4.3.</w:t>
      </w:r>
      <w:r>
        <w:rPr>
          <w:spacing w:val="59"/>
        </w:rPr>
        <w:t xml:space="preserve"> </w:t>
      </w:r>
      <w:r>
        <w:t>BAKIM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9"/>
        <w:ind w:left="968" w:hanging="154"/>
        <w:rPr>
          <w:sz w:val="24"/>
        </w:rPr>
      </w:pP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yapılmaktadır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8"/>
        <w:ind w:left="968" w:hanging="154"/>
        <w:rPr>
          <w:sz w:val="24"/>
        </w:rPr>
      </w:pPr>
      <w:proofErr w:type="spellStart"/>
      <w:r>
        <w:rPr>
          <w:sz w:val="24"/>
        </w:rPr>
        <w:t>Cihazların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üreticinin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tavsiye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aralığında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yapılmaktadır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5"/>
        <w:ind w:left="968" w:hanging="154"/>
        <w:rPr>
          <w:b/>
          <w:i/>
          <w:sz w:val="24"/>
        </w:rPr>
      </w:pPr>
      <w:proofErr w:type="spellStart"/>
      <w:r>
        <w:rPr>
          <w:sz w:val="24"/>
        </w:rPr>
        <w:t>Tüm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şüpheli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mevcut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arızalar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bakım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çalışmaları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b/>
          <w:i/>
          <w:sz w:val="24"/>
        </w:rPr>
        <w:t>Bakım</w:t>
      </w:r>
      <w:proofErr w:type="spellEnd"/>
      <w:r>
        <w:rPr>
          <w:b/>
          <w:i/>
          <w:spacing w:val="23"/>
          <w:sz w:val="24"/>
        </w:rPr>
        <w:t xml:space="preserve"> </w:t>
      </w:r>
      <w:proofErr w:type="spellStart"/>
      <w:r>
        <w:rPr>
          <w:b/>
          <w:i/>
          <w:sz w:val="24"/>
        </w:rPr>
        <w:t>Kontrol</w:t>
      </w:r>
      <w:proofErr w:type="spellEnd"/>
      <w:r>
        <w:rPr>
          <w:b/>
          <w:i/>
          <w:spacing w:val="20"/>
          <w:sz w:val="24"/>
        </w:rPr>
        <w:t xml:space="preserve"> </w:t>
      </w:r>
      <w:proofErr w:type="spellStart"/>
      <w:r>
        <w:rPr>
          <w:b/>
          <w:i/>
          <w:sz w:val="24"/>
        </w:rPr>
        <w:t>Çizelgesi</w:t>
      </w:r>
      <w:proofErr w:type="spellEnd"/>
    </w:p>
    <w:p w:rsidR="008E245F" w:rsidRDefault="008E245F" w:rsidP="008E245F">
      <w:pPr>
        <w:pStyle w:val="GvdeMetni"/>
        <w:spacing w:before="136"/>
        <w:ind w:left="968"/>
      </w:pPr>
      <w:proofErr w:type="spellStart"/>
      <w:proofErr w:type="gramStart"/>
      <w:r>
        <w:t>içerisinde</w:t>
      </w:r>
      <w:proofErr w:type="spellEnd"/>
      <w:proofErr w:type="gramEnd"/>
      <w:r>
        <w:t xml:space="preserve"> </w:t>
      </w:r>
      <w:proofErr w:type="spellStart"/>
      <w:r>
        <w:t>kayıtlar</w:t>
      </w:r>
      <w:proofErr w:type="spellEnd"/>
      <w:r>
        <w:t xml:space="preserve"> </w:t>
      </w:r>
      <w:proofErr w:type="spellStart"/>
      <w:r>
        <w:t>tutulmaktadır</w:t>
      </w:r>
      <w:proofErr w:type="spellEnd"/>
      <w: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40"/>
        <w:ind w:left="968" w:hanging="154"/>
        <w:rPr>
          <w:sz w:val="24"/>
        </w:rPr>
      </w:pPr>
      <w:proofErr w:type="spellStart"/>
      <w:r>
        <w:rPr>
          <w:sz w:val="24"/>
        </w:rPr>
        <w:t>Bakıma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başlandığında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enerjisini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kesilir</w:t>
      </w:r>
      <w:proofErr w:type="spellEnd"/>
      <w:r>
        <w:rPr>
          <w:sz w:val="24"/>
        </w:rPr>
        <w:t>.</w:t>
      </w:r>
    </w:p>
    <w:p w:rsidR="008E245F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138"/>
        <w:ind w:left="968" w:hanging="154"/>
        <w:rPr>
          <w:sz w:val="24"/>
        </w:rPr>
      </w:pPr>
      <w:proofErr w:type="spellStart"/>
      <w:r>
        <w:rPr>
          <w:sz w:val="24"/>
        </w:rPr>
        <w:t>Cihazlar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garanti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neticesinde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sağlanmaktadır</w:t>
      </w:r>
      <w:proofErr w:type="spellEnd"/>
      <w:r>
        <w:rPr>
          <w:sz w:val="24"/>
        </w:rPr>
        <w:t>.</w:t>
      </w:r>
    </w:p>
    <w:p w:rsidR="008E245F" w:rsidRPr="00611FCE" w:rsidRDefault="008E245F" w:rsidP="008E245F">
      <w:pPr>
        <w:pStyle w:val="ListeParagraf"/>
        <w:numPr>
          <w:ilvl w:val="0"/>
          <w:numId w:val="1"/>
        </w:numPr>
        <w:tabs>
          <w:tab w:val="left" w:pos="969"/>
        </w:tabs>
        <w:spacing w:before="4" w:line="348" w:lineRule="auto"/>
        <w:ind w:left="968" w:right="472" w:hanging="154"/>
        <w:rPr>
          <w:sz w:val="15"/>
        </w:rPr>
      </w:pPr>
      <w:proofErr w:type="spellStart"/>
      <w:r>
        <w:rPr>
          <w:sz w:val="24"/>
        </w:rPr>
        <w:t>Cihazlar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arızadan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çıkarılacaksa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tutanağı</w:t>
      </w:r>
      <w:proofErr w:type="spellEnd"/>
      <w:r w:rsidRPr="00611FCE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hazırlanır</w:t>
      </w:r>
      <w:proofErr w:type="spellEnd"/>
      <w:r>
        <w:rPr>
          <w:sz w:val="24"/>
        </w:rPr>
        <w:t>.</w:t>
      </w:r>
    </w:p>
    <w:sectPr w:rsidR="008E245F" w:rsidRPr="00611FCE" w:rsidSect="003A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E7" w:rsidRDefault="00D046E7" w:rsidP="0022417A">
      <w:r>
        <w:separator/>
      </w:r>
    </w:p>
  </w:endnote>
  <w:endnote w:type="continuationSeparator" w:id="1">
    <w:p w:rsidR="00D046E7" w:rsidRDefault="00D046E7" w:rsidP="0022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3" w:rsidRDefault="001744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611FCE" w:rsidRPr="003445DC" w:rsidTr="00FB5549">
      <w:trPr>
        <w:trHeight w:val="747"/>
      </w:trPr>
      <w:tc>
        <w:tcPr>
          <w:tcW w:w="3259" w:type="dxa"/>
          <w:shd w:val="clear" w:color="auto" w:fill="auto"/>
        </w:tcPr>
        <w:p w:rsidR="00611FCE" w:rsidRPr="00192AC1" w:rsidRDefault="00611FCE" w:rsidP="00FB5549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611FCE" w:rsidRPr="00192AC1" w:rsidRDefault="00611FCE" w:rsidP="00FB5549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611FCE" w:rsidRPr="00192AC1" w:rsidRDefault="00611FCE" w:rsidP="00FB5549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611FCE" w:rsidRDefault="00611FC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3" w:rsidRDefault="001744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E7" w:rsidRDefault="00D046E7" w:rsidP="0022417A">
      <w:r>
        <w:separator/>
      </w:r>
    </w:p>
  </w:footnote>
  <w:footnote w:type="continuationSeparator" w:id="1">
    <w:p w:rsidR="00D046E7" w:rsidRDefault="00D046E7" w:rsidP="0022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3" w:rsidRDefault="001744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611FCE" w:rsidRPr="00E91F69" w:rsidTr="00611FCE">
      <w:trPr>
        <w:trHeight w:val="312"/>
      </w:trPr>
      <w:tc>
        <w:tcPr>
          <w:tcW w:w="1560" w:type="dxa"/>
          <w:vMerge w:val="restart"/>
          <w:vAlign w:val="center"/>
        </w:tcPr>
        <w:p w:rsidR="00611FCE" w:rsidRPr="00363F70" w:rsidRDefault="00611FCE" w:rsidP="00FB5549">
          <w:pPr>
            <w:pStyle w:val="stbilgi"/>
            <w:jc w:val="center"/>
            <w:rPr>
              <w:sz w:val="24"/>
              <w:szCs w:val="24"/>
            </w:rPr>
          </w:pPr>
          <w:r w:rsidRPr="00363F70">
            <w:rPr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611FCE" w:rsidRPr="00363F70" w:rsidRDefault="00611FCE" w:rsidP="00FB5549">
          <w:pPr>
            <w:tabs>
              <w:tab w:val="left" w:pos="1040"/>
            </w:tabs>
            <w:spacing w:before="44"/>
            <w:jc w:val="center"/>
            <w:rPr>
              <w:b/>
              <w:sz w:val="24"/>
              <w:szCs w:val="24"/>
            </w:rPr>
          </w:pPr>
          <w:r w:rsidRPr="002F1E6D">
            <w:rPr>
              <w:b/>
              <w:sz w:val="28"/>
              <w:szCs w:val="24"/>
            </w:rPr>
            <w:t>MÜHENDİSLİK FAKÜLTESİ HİDROLİK LABORATUVARI KULLANMA</w:t>
          </w:r>
          <w:r>
            <w:rPr>
              <w:b/>
              <w:sz w:val="28"/>
              <w:szCs w:val="24"/>
            </w:rPr>
            <w:t xml:space="preserve"> </w:t>
          </w:r>
          <w:r w:rsidRPr="002F1E6D">
            <w:rPr>
              <w:b/>
              <w:sz w:val="28"/>
              <w:szCs w:val="24"/>
            </w:rPr>
            <w:t>TALİMATI</w:t>
          </w:r>
        </w:p>
      </w:tc>
      <w:tc>
        <w:tcPr>
          <w:tcW w:w="1559" w:type="dxa"/>
          <w:vAlign w:val="center"/>
        </w:tcPr>
        <w:p w:rsidR="00611FCE" w:rsidRPr="00E91F69" w:rsidRDefault="00611FCE" w:rsidP="00FB554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611FCE" w:rsidRPr="00E91F69" w:rsidRDefault="00611FCE" w:rsidP="00FB5549">
          <w:pPr>
            <w:pStyle w:val="stbilgi"/>
            <w:rPr>
              <w:sz w:val="18"/>
            </w:rPr>
          </w:pPr>
          <w:r>
            <w:rPr>
              <w:sz w:val="20"/>
              <w:szCs w:val="20"/>
            </w:rPr>
            <w:t>TL-214</w:t>
          </w:r>
        </w:p>
      </w:tc>
    </w:tr>
    <w:tr w:rsidR="00611FCE" w:rsidRPr="00E91F69" w:rsidTr="00611FCE">
      <w:trPr>
        <w:trHeight w:val="312"/>
      </w:trPr>
      <w:tc>
        <w:tcPr>
          <w:tcW w:w="1560" w:type="dxa"/>
          <w:vMerge/>
          <w:vAlign w:val="center"/>
        </w:tcPr>
        <w:p w:rsidR="00611FCE" w:rsidRPr="00E91F69" w:rsidRDefault="00611FCE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11FCE" w:rsidRPr="00E91F69" w:rsidRDefault="00611FCE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11FCE" w:rsidRPr="00E91F69" w:rsidRDefault="00611FCE" w:rsidP="00FB554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611FCE" w:rsidRPr="00E91F69" w:rsidRDefault="00611FCE" w:rsidP="00FB5549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611FCE" w:rsidRPr="00E91F69" w:rsidTr="00611FCE">
      <w:trPr>
        <w:trHeight w:val="312"/>
      </w:trPr>
      <w:tc>
        <w:tcPr>
          <w:tcW w:w="1560" w:type="dxa"/>
          <w:vMerge/>
          <w:vAlign w:val="center"/>
        </w:tcPr>
        <w:p w:rsidR="00611FCE" w:rsidRPr="00E91F69" w:rsidRDefault="00611FCE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11FCE" w:rsidRPr="00E91F69" w:rsidRDefault="00611FCE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11FCE" w:rsidRPr="00E91F69" w:rsidRDefault="00611FCE" w:rsidP="00FB554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611FCE" w:rsidRPr="00E91F69" w:rsidRDefault="00611FCE" w:rsidP="00FB5549">
          <w:pPr>
            <w:pStyle w:val="stbilgi"/>
            <w:rPr>
              <w:sz w:val="18"/>
            </w:rPr>
          </w:pPr>
        </w:p>
      </w:tc>
    </w:tr>
    <w:tr w:rsidR="00611FCE" w:rsidRPr="00E91F69" w:rsidTr="00611FCE">
      <w:trPr>
        <w:trHeight w:val="312"/>
      </w:trPr>
      <w:tc>
        <w:tcPr>
          <w:tcW w:w="1560" w:type="dxa"/>
          <w:vMerge/>
          <w:vAlign w:val="center"/>
        </w:tcPr>
        <w:p w:rsidR="00611FCE" w:rsidRPr="00E91F69" w:rsidRDefault="00611FCE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11FCE" w:rsidRPr="00E91F69" w:rsidRDefault="00611FCE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11FCE" w:rsidRPr="00E91F69" w:rsidRDefault="00611FCE" w:rsidP="00FB554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611FCE" w:rsidRPr="00E91F69" w:rsidRDefault="00611FCE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611FCE" w:rsidRPr="00E91F69" w:rsidTr="00611FCE">
      <w:trPr>
        <w:trHeight w:val="417"/>
      </w:trPr>
      <w:tc>
        <w:tcPr>
          <w:tcW w:w="1560" w:type="dxa"/>
          <w:vMerge/>
          <w:vAlign w:val="center"/>
        </w:tcPr>
        <w:p w:rsidR="00611FCE" w:rsidRPr="00E91F69" w:rsidRDefault="00611FCE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11FCE" w:rsidRPr="00E91F69" w:rsidRDefault="00611FCE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11FCE" w:rsidRPr="00E91F69" w:rsidRDefault="00611FCE" w:rsidP="00FB5549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611FCE" w:rsidRPr="00E91F69" w:rsidRDefault="00A95F58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611FCE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174423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611FCE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611FCE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174423">
            <w:rPr>
              <w:noProof/>
              <w:sz w:val="18"/>
            </w:rPr>
            <w:t>2</w:t>
          </w:r>
          <w:r w:rsidRPr="00E91F69">
            <w:rPr>
              <w:sz w:val="18"/>
            </w:rPr>
            <w:fldChar w:fldCharType="end"/>
          </w:r>
        </w:p>
      </w:tc>
    </w:tr>
  </w:tbl>
  <w:p w:rsidR="00123A0A" w:rsidRDefault="00174423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3" w:rsidRDefault="0017442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1760"/>
    <w:multiLevelType w:val="hybridMultilevel"/>
    <w:tmpl w:val="E376BACE"/>
    <w:lvl w:ilvl="0" w:tplc="097406A8">
      <w:numFmt w:val="bullet"/>
      <w:lvlText w:val=""/>
      <w:lvlJc w:val="left"/>
      <w:pPr>
        <w:ind w:left="836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E4C48F6">
      <w:numFmt w:val="bullet"/>
      <w:lvlText w:val="•"/>
      <w:lvlJc w:val="left"/>
      <w:pPr>
        <w:ind w:left="1694" w:hanging="144"/>
      </w:pPr>
      <w:rPr>
        <w:rFonts w:hint="default"/>
      </w:rPr>
    </w:lvl>
    <w:lvl w:ilvl="2" w:tplc="87C6597E">
      <w:numFmt w:val="bullet"/>
      <w:lvlText w:val="•"/>
      <w:lvlJc w:val="left"/>
      <w:pPr>
        <w:ind w:left="2549" w:hanging="144"/>
      </w:pPr>
      <w:rPr>
        <w:rFonts w:hint="default"/>
      </w:rPr>
    </w:lvl>
    <w:lvl w:ilvl="3" w:tplc="B9B62F22">
      <w:numFmt w:val="bullet"/>
      <w:lvlText w:val="•"/>
      <w:lvlJc w:val="left"/>
      <w:pPr>
        <w:ind w:left="3403" w:hanging="144"/>
      </w:pPr>
      <w:rPr>
        <w:rFonts w:hint="default"/>
      </w:rPr>
    </w:lvl>
    <w:lvl w:ilvl="4" w:tplc="AD80B366">
      <w:numFmt w:val="bullet"/>
      <w:lvlText w:val="•"/>
      <w:lvlJc w:val="left"/>
      <w:pPr>
        <w:ind w:left="4258" w:hanging="144"/>
      </w:pPr>
      <w:rPr>
        <w:rFonts w:hint="default"/>
      </w:rPr>
    </w:lvl>
    <w:lvl w:ilvl="5" w:tplc="E60268FC">
      <w:numFmt w:val="bullet"/>
      <w:lvlText w:val="•"/>
      <w:lvlJc w:val="left"/>
      <w:pPr>
        <w:ind w:left="5113" w:hanging="144"/>
      </w:pPr>
      <w:rPr>
        <w:rFonts w:hint="default"/>
      </w:rPr>
    </w:lvl>
    <w:lvl w:ilvl="6" w:tplc="22F09DCC">
      <w:numFmt w:val="bullet"/>
      <w:lvlText w:val="•"/>
      <w:lvlJc w:val="left"/>
      <w:pPr>
        <w:ind w:left="5967" w:hanging="144"/>
      </w:pPr>
      <w:rPr>
        <w:rFonts w:hint="default"/>
      </w:rPr>
    </w:lvl>
    <w:lvl w:ilvl="7" w:tplc="0D920C8E">
      <w:numFmt w:val="bullet"/>
      <w:lvlText w:val="•"/>
      <w:lvlJc w:val="left"/>
      <w:pPr>
        <w:ind w:left="6822" w:hanging="144"/>
      </w:pPr>
      <w:rPr>
        <w:rFonts w:hint="default"/>
      </w:rPr>
    </w:lvl>
    <w:lvl w:ilvl="8" w:tplc="FD4614A0">
      <w:numFmt w:val="bullet"/>
      <w:lvlText w:val="•"/>
      <w:lvlJc w:val="left"/>
      <w:pPr>
        <w:ind w:left="7677" w:hanging="144"/>
      </w:pPr>
      <w:rPr>
        <w:rFonts w:hint="default"/>
      </w:rPr>
    </w:lvl>
  </w:abstractNum>
  <w:abstractNum w:abstractNumId="1">
    <w:nsid w:val="60916F94"/>
    <w:multiLevelType w:val="multilevel"/>
    <w:tmpl w:val="AD147C3E"/>
    <w:lvl w:ilvl="0">
      <w:start w:val="1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2.%3."/>
      <w:lvlJc w:val="left"/>
      <w:pPr>
        <w:ind w:left="1532" w:hanging="6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796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800" w:hanging="600"/>
      </w:pPr>
      <w:rPr>
        <w:rFonts w:hint="default"/>
      </w:rPr>
    </w:lvl>
    <w:lvl w:ilvl="5">
      <w:numFmt w:val="bullet"/>
      <w:lvlText w:val="•"/>
      <w:lvlJc w:val="left"/>
      <w:pPr>
        <w:ind w:left="3063" w:hanging="600"/>
      </w:pPr>
      <w:rPr>
        <w:rFonts w:hint="default"/>
      </w:rPr>
    </w:lvl>
    <w:lvl w:ilvl="6">
      <w:numFmt w:val="bullet"/>
      <w:lvlText w:val="•"/>
      <w:lvlJc w:val="left"/>
      <w:pPr>
        <w:ind w:left="4326" w:hanging="600"/>
      </w:pPr>
      <w:rPr>
        <w:rFonts w:hint="default"/>
      </w:rPr>
    </w:lvl>
    <w:lvl w:ilvl="7">
      <w:numFmt w:val="bullet"/>
      <w:lvlText w:val="•"/>
      <w:lvlJc w:val="left"/>
      <w:pPr>
        <w:ind w:left="5590" w:hanging="600"/>
      </w:pPr>
      <w:rPr>
        <w:rFonts w:hint="default"/>
      </w:rPr>
    </w:lvl>
    <w:lvl w:ilvl="8">
      <w:numFmt w:val="bullet"/>
      <w:lvlText w:val="•"/>
      <w:lvlJc w:val="left"/>
      <w:pPr>
        <w:ind w:left="6853" w:hanging="6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E245F"/>
    <w:rsid w:val="00174423"/>
    <w:rsid w:val="0022417A"/>
    <w:rsid w:val="002E09EE"/>
    <w:rsid w:val="003A4964"/>
    <w:rsid w:val="00611FCE"/>
    <w:rsid w:val="008E245F"/>
    <w:rsid w:val="00A95F58"/>
    <w:rsid w:val="00D0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4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245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24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8E245F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E245F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8E245F"/>
  </w:style>
  <w:style w:type="paragraph" w:styleId="BalonMetni">
    <w:name w:val="Balloon Text"/>
    <w:basedOn w:val="Normal"/>
    <w:link w:val="BalonMetniChar"/>
    <w:uiPriority w:val="99"/>
    <w:semiHidden/>
    <w:unhideWhenUsed/>
    <w:rsid w:val="008E24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45F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241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417A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241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417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2018-02-28T11:19:00Z</dcterms:created>
  <dcterms:modified xsi:type="dcterms:W3CDTF">2018-05-04T12:45:00Z</dcterms:modified>
</cp:coreProperties>
</file>