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74" w:rsidRPr="00EA46F3" w:rsidRDefault="00700374" w:rsidP="007003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6F3">
        <w:rPr>
          <w:rFonts w:ascii="Times New Roman" w:hAnsi="Times New Roman" w:cs="Times New Roman"/>
          <w:b/>
          <w:sz w:val="24"/>
          <w:szCs w:val="24"/>
        </w:rPr>
        <w:t>KARAMANOĞLU MEHMETBEY ÜNİVERSİTESİ</w:t>
      </w:r>
    </w:p>
    <w:p w:rsidR="00E2046B" w:rsidRPr="00EA46F3" w:rsidRDefault="00EA46F3" w:rsidP="00E20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6F3">
        <w:rPr>
          <w:rFonts w:ascii="Times New Roman" w:hAnsi="Times New Roman" w:cs="Times New Roman"/>
          <w:b/>
          <w:sz w:val="24"/>
          <w:szCs w:val="24"/>
        </w:rPr>
        <w:t>202... YILI</w:t>
      </w:r>
    </w:p>
    <w:p w:rsidR="00EA46F3" w:rsidRPr="00EA46F3" w:rsidRDefault="00EA46F3" w:rsidP="00E20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46F3"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 w:rsidRPr="00EA46F3">
        <w:rPr>
          <w:rFonts w:ascii="Times New Roman" w:hAnsi="Times New Roman" w:cs="Times New Roman"/>
          <w:b/>
          <w:sz w:val="24"/>
          <w:szCs w:val="24"/>
        </w:rPr>
        <w:t xml:space="preserve"> BİRİMİ ÖZ DEĞERLENDİRME RAPORU</w:t>
      </w:r>
    </w:p>
    <w:p w:rsidR="00A159C4" w:rsidRDefault="00CC3844" w:rsidP="00E674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BİRİM</w:t>
      </w:r>
      <w:r w:rsidRPr="00CC3844">
        <w:rPr>
          <w:rFonts w:ascii="Times New Roman" w:hAnsi="Times New Roman" w:cs="Times New Roman"/>
          <w:b/>
        </w:rPr>
        <w:t xml:space="preserve"> HAKKINDA BİLGİLER</w:t>
      </w:r>
    </w:p>
    <w:p w:rsidR="00CC3844" w:rsidRPr="00CC3844" w:rsidRDefault="00CC3844" w:rsidP="00CC3844">
      <w:pPr>
        <w:jc w:val="both"/>
        <w:rPr>
          <w:rFonts w:ascii="Times New Roman" w:hAnsi="Times New Roman" w:cs="Times New Roman"/>
        </w:rPr>
      </w:pPr>
      <w:proofErr w:type="gramStart"/>
      <w:r w:rsidRPr="00CC384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568C3" w:rsidRDefault="00A568C3" w:rsidP="00A568C3">
      <w:pPr>
        <w:jc w:val="both"/>
      </w:pPr>
      <w:r w:rsidRPr="009A71E7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Yönetişim</w:t>
      </w:r>
      <w:r w:rsidRPr="008F08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Modeli ve Yapısı</w:t>
      </w:r>
    </w:p>
    <w:p w:rsidR="00542386" w:rsidRDefault="00114815" w:rsidP="005423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Üniversitenin </w:t>
      </w:r>
      <w:r w:rsidR="00542386">
        <w:rPr>
          <w:rFonts w:ascii="Times New Roman" w:hAnsi="Times New Roman" w:cs="Times New Roman"/>
        </w:rPr>
        <w:t>Kurumsal Politikaları (</w:t>
      </w:r>
      <w:hyperlink r:id="rId7" w:history="1">
        <w:r w:rsidR="00542386" w:rsidRPr="008C2C17">
          <w:rPr>
            <w:rStyle w:val="Kpr"/>
            <w:rFonts w:ascii="Times New Roman" w:hAnsi="Times New Roman" w:cs="Times New Roman"/>
          </w:rPr>
          <w:t>https://kmu.edu.tr/kalite/sayfa/2866/politikalar/tr</w:t>
        </w:r>
      </w:hyperlink>
      <w:r w:rsidR="00542386">
        <w:rPr>
          <w:rFonts w:ascii="Times New Roman" w:hAnsi="Times New Roman" w:cs="Times New Roman"/>
        </w:rPr>
        <w:t xml:space="preserve">) </w:t>
      </w:r>
      <w:r w:rsidR="00EA7C00">
        <w:rPr>
          <w:rFonts w:ascii="Times New Roman" w:hAnsi="Times New Roman" w:cs="Times New Roman"/>
        </w:rPr>
        <w:t>ve Stratejik Planı (</w:t>
      </w:r>
      <w:hyperlink r:id="rId8" w:history="1">
        <w:r w:rsidR="00EA7C00" w:rsidRPr="008C2C17">
          <w:rPr>
            <w:rStyle w:val="Kpr"/>
            <w:rFonts w:ascii="Times New Roman" w:hAnsi="Times New Roman" w:cs="Times New Roman"/>
          </w:rPr>
          <w:t>https://kmu.edu.tr/strateji/sayfa/15885/20242028-stratejik-plani/tr</w:t>
        </w:r>
      </w:hyperlink>
      <w:r w:rsidR="00EA7C00">
        <w:rPr>
          <w:rFonts w:ascii="Times New Roman" w:hAnsi="Times New Roman" w:cs="Times New Roman"/>
        </w:rPr>
        <w:t xml:space="preserve">) </w:t>
      </w:r>
      <w:r w:rsidR="00542386">
        <w:rPr>
          <w:rFonts w:ascii="Times New Roman" w:hAnsi="Times New Roman" w:cs="Times New Roman"/>
        </w:rPr>
        <w:t xml:space="preserve">doğrultusunda belirlenen hedeflerin karşılanıp karşılanmadığı </w:t>
      </w:r>
      <w:r w:rsidR="00EA7C00">
        <w:rPr>
          <w:rFonts w:ascii="Times New Roman" w:hAnsi="Times New Roman" w:cs="Times New Roman"/>
        </w:rPr>
        <w:t>irdelen</w:t>
      </w:r>
      <w:r w:rsidR="00542386">
        <w:rPr>
          <w:rFonts w:ascii="Times New Roman" w:hAnsi="Times New Roman" w:cs="Times New Roman"/>
        </w:rPr>
        <w:t xml:space="preserve">ecek, </w:t>
      </w:r>
      <w:r w:rsidR="00EA1E78">
        <w:rPr>
          <w:rFonts w:ascii="Times New Roman" w:hAnsi="Times New Roman" w:cs="Times New Roman"/>
        </w:rPr>
        <w:t xml:space="preserve">bu konuda yürütülen birim faaliyetlerine ilişkin istatistiksel veriler paylaşılacak, </w:t>
      </w:r>
      <w:r w:rsidR="00542386">
        <w:rPr>
          <w:rFonts w:ascii="Times New Roman" w:hAnsi="Times New Roman" w:cs="Times New Roman"/>
        </w:rPr>
        <w:t>ayrıca birimin organizasyon yapısı hakkında bilgi verilecektir.</w:t>
      </w:r>
    </w:p>
    <w:p w:rsidR="00A568C3" w:rsidRDefault="00A568C3" w:rsidP="00A568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8F08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Liderlik</w:t>
      </w:r>
    </w:p>
    <w:p w:rsidR="00E769AA" w:rsidRDefault="00E769AA" w:rsidP="00E769A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Birimde </w:t>
      </w:r>
      <w:r w:rsidRPr="00375D8F">
        <w:rPr>
          <w:rFonts w:ascii="Times New Roman" w:hAnsi="Times New Roman" w:cs="Times New Roman"/>
        </w:rPr>
        <w:t>yöneticilerin liderlik özelliklerini ve yetkinliklerini ölçmek ve izlemek için kullanılan yöntemler, elde edilen izleme sonuçları</w:t>
      </w:r>
      <w:r w:rsidR="0032578B">
        <w:rPr>
          <w:rFonts w:ascii="Times New Roman" w:hAnsi="Times New Roman" w:cs="Times New Roman"/>
        </w:rPr>
        <w:t>, birim çalışanları ile yapılan toplantılar</w:t>
      </w:r>
      <w:r w:rsidRPr="00375D8F">
        <w:rPr>
          <w:rFonts w:ascii="Times New Roman" w:hAnsi="Times New Roman" w:cs="Times New Roman"/>
        </w:rPr>
        <w:t xml:space="preserve"> ve bunlara bağlı iyileştirmelere değinilecek, ayrıca </w:t>
      </w:r>
      <w:r>
        <w:rPr>
          <w:rFonts w:ascii="Times New Roman" w:hAnsi="Times New Roman" w:cs="Times New Roman"/>
        </w:rPr>
        <w:t>birimde</w:t>
      </w:r>
      <w:r w:rsidRPr="00375D8F">
        <w:rPr>
          <w:rFonts w:ascii="Times New Roman" w:hAnsi="Times New Roman" w:cs="Times New Roman"/>
        </w:rPr>
        <w:t xml:space="preserve"> kalite güvencesi kültürünü geliştirmek üzere </w:t>
      </w:r>
      <w:r w:rsidR="0032578B">
        <w:rPr>
          <w:rFonts w:ascii="Times New Roman" w:hAnsi="Times New Roman" w:cs="Times New Roman"/>
        </w:rPr>
        <w:t>gerçekleştirilen</w:t>
      </w:r>
      <w:r w:rsidRPr="00375D8F">
        <w:rPr>
          <w:rFonts w:ascii="Times New Roman" w:hAnsi="Times New Roman" w:cs="Times New Roman"/>
        </w:rPr>
        <w:t xml:space="preserve"> planlama ve</w:t>
      </w:r>
      <w:r>
        <w:rPr>
          <w:rFonts w:ascii="Times New Roman" w:hAnsi="Times New Roman" w:cs="Times New Roman"/>
        </w:rPr>
        <w:t xml:space="preserve"> uygulamalara yer verilecek, </w:t>
      </w:r>
      <w:r w:rsidRPr="00375D8F">
        <w:rPr>
          <w:rFonts w:ascii="Times New Roman" w:hAnsi="Times New Roman" w:cs="Times New Roman"/>
        </w:rPr>
        <w:t xml:space="preserve">süreç liderlerinin kalite güvencesi sistemi ve kültürü oluşturma konusunda sahipliği ve </w:t>
      </w:r>
      <w:proofErr w:type="gramStart"/>
      <w:r w:rsidRPr="00375D8F">
        <w:rPr>
          <w:rFonts w:ascii="Times New Roman" w:hAnsi="Times New Roman" w:cs="Times New Roman"/>
        </w:rPr>
        <w:t>motivasyonu</w:t>
      </w:r>
      <w:proofErr w:type="gramEnd"/>
      <w:r w:rsidRPr="00375D8F">
        <w:rPr>
          <w:rFonts w:ascii="Times New Roman" w:hAnsi="Times New Roman" w:cs="Times New Roman"/>
        </w:rPr>
        <w:t xml:space="preserve"> irdelenecek, liderlik süreçleri ve kalite güvencesi kültürünün içselleştirilmesine dair kanıtlara yer verilecektir. Birimde liderlik anlayışı ve koordinasyon kültürü</w:t>
      </w:r>
      <w:r>
        <w:rPr>
          <w:rFonts w:ascii="Times New Roman" w:hAnsi="Times New Roman" w:cs="Times New Roman"/>
        </w:rPr>
        <w:t>nün yerleşip yerleşmediğine, l</w:t>
      </w:r>
      <w:r w:rsidRPr="00375D8F">
        <w:rPr>
          <w:rFonts w:ascii="Times New Roman" w:hAnsi="Times New Roman" w:cs="Times New Roman"/>
        </w:rPr>
        <w:t>ider</w:t>
      </w:r>
      <w:r>
        <w:rPr>
          <w:rFonts w:ascii="Times New Roman" w:hAnsi="Times New Roman" w:cs="Times New Roman"/>
        </w:rPr>
        <w:t>le</w:t>
      </w:r>
      <w:r w:rsidRPr="00375D8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in kurum</w:t>
      </w:r>
      <w:r w:rsidRPr="00375D8F">
        <w:rPr>
          <w:rFonts w:ascii="Times New Roman" w:hAnsi="Times New Roman" w:cs="Times New Roman"/>
        </w:rPr>
        <w:t xml:space="preserve"> değerleri ve hedefleri doğrultusunda yetki paylaşımını, ilişkileri, zamanı, kurumsal </w:t>
      </w:r>
      <w:proofErr w:type="gramStart"/>
      <w:r w:rsidRPr="00375D8F">
        <w:rPr>
          <w:rFonts w:ascii="Times New Roman" w:hAnsi="Times New Roman" w:cs="Times New Roman"/>
        </w:rPr>
        <w:t>motivasyon</w:t>
      </w:r>
      <w:proofErr w:type="gramEnd"/>
      <w:r w:rsidRPr="00375D8F">
        <w:rPr>
          <w:rFonts w:ascii="Times New Roman" w:hAnsi="Times New Roman" w:cs="Times New Roman"/>
        </w:rPr>
        <w:t xml:space="preserve"> ve stresi etkin ve dengeli biçimde yönet</w:t>
      </w:r>
      <w:r>
        <w:rPr>
          <w:rFonts w:ascii="Times New Roman" w:hAnsi="Times New Roman" w:cs="Times New Roman"/>
        </w:rPr>
        <w:t xml:space="preserve">ip yönetmediğine </w:t>
      </w:r>
      <w:r w:rsidR="0032578B">
        <w:rPr>
          <w:rFonts w:ascii="Times New Roman" w:hAnsi="Times New Roman" w:cs="Times New Roman"/>
        </w:rPr>
        <w:t>değinilecek</w:t>
      </w:r>
      <w:r>
        <w:rPr>
          <w:rFonts w:ascii="Times New Roman" w:hAnsi="Times New Roman" w:cs="Times New Roman"/>
        </w:rPr>
        <w:t xml:space="preserve">, ayrıca </w:t>
      </w:r>
      <w:r w:rsidRPr="00375D8F">
        <w:rPr>
          <w:rFonts w:ascii="Times New Roman" w:hAnsi="Times New Roman" w:cs="Times New Roman"/>
        </w:rPr>
        <w:t>yöneti</w:t>
      </w:r>
      <w:r w:rsidR="0032578B">
        <w:rPr>
          <w:rFonts w:ascii="Times New Roman" w:hAnsi="Times New Roman" w:cs="Times New Roman"/>
        </w:rPr>
        <w:t>ciler ile çalışanlar</w:t>
      </w:r>
      <w:r w:rsidRPr="00375D8F">
        <w:rPr>
          <w:rFonts w:ascii="Times New Roman" w:hAnsi="Times New Roman" w:cs="Times New Roman"/>
        </w:rPr>
        <w:t xml:space="preserve"> arasında etkin bir iletişim ağı </w:t>
      </w:r>
      <w:r>
        <w:rPr>
          <w:rFonts w:ascii="Times New Roman" w:hAnsi="Times New Roman" w:cs="Times New Roman"/>
        </w:rPr>
        <w:t>kurulup kurulmadığı değerlendirilecektir.</w:t>
      </w:r>
      <w:r w:rsidR="00931CF1">
        <w:rPr>
          <w:rFonts w:ascii="Times New Roman" w:hAnsi="Times New Roman" w:cs="Times New Roman"/>
        </w:rPr>
        <w:t xml:space="preserve"> </w:t>
      </w:r>
    </w:p>
    <w:p w:rsidR="005D6A51" w:rsidRDefault="005D6A51" w:rsidP="005D6A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7A1548">
        <w:rPr>
          <w:rFonts w:ascii="Times New Roman" w:hAnsi="Times New Roman" w:cs="Times New Roman"/>
          <w:b/>
        </w:rPr>
        <w:t>İnsan Kaynakları Yönetimi</w:t>
      </w:r>
    </w:p>
    <w:p w:rsidR="005D6A51" w:rsidRDefault="004C485D" w:rsidP="005D6A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Üniversitenin </w:t>
      </w:r>
      <w:r w:rsidRPr="00EA44F7">
        <w:rPr>
          <w:rFonts w:ascii="Times New Roman" w:hAnsi="Times New Roman" w:cs="Times New Roman"/>
        </w:rPr>
        <w:t xml:space="preserve">İnsan Kaynakları Politikası ve hedefleri ile bunlara ilişkin uygulamalara (yetkinlik, işe alınma, </w:t>
      </w:r>
      <w:r>
        <w:rPr>
          <w:rFonts w:ascii="Times New Roman" w:hAnsi="Times New Roman" w:cs="Times New Roman"/>
        </w:rPr>
        <w:t xml:space="preserve">görevlendirme, </w:t>
      </w:r>
      <w:r w:rsidRPr="00EA44F7">
        <w:rPr>
          <w:rFonts w:ascii="Times New Roman" w:hAnsi="Times New Roman" w:cs="Times New Roman"/>
        </w:rPr>
        <w:t>hizmet içi eğitim, yükseltme, teşvik ve ödü</w:t>
      </w:r>
      <w:r>
        <w:rPr>
          <w:rFonts w:ascii="Times New Roman" w:hAnsi="Times New Roman" w:cs="Times New Roman"/>
        </w:rPr>
        <w:t xml:space="preserve">llendirme vb.) yer verilmelidir. </w:t>
      </w:r>
      <w:r w:rsidR="005D6A51" w:rsidRPr="00F447E7">
        <w:rPr>
          <w:rFonts w:ascii="Times New Roman" w:hAnsi="Times New Roman" w:cs="Times New Roman"/>
        </w:rPr>
        <w:t>Çalışan</w:t>
      </w:r>
      <w:r w:rsidR="005D6A51">
        <w:rPr>
          <w:rFonts w:ascii="Times New Roman" w:hAnsi="Times New Roman" w:cs="Times New Roman"/>
        </w:rPr>
        <w:t>ların</w:t>
      </w:r>
      <w:r w:rsidR="005D6A51" w:rsidRPr="00F447E7">
        <w:rPr>
          <w:rFonts w:ascii="Times New Roman" w:hAnsi="Times New Roman" w:cs="Times New Roman"/>
        </w:rPr>
        <w:t xml:space="preserve"> (akademik-idari) memnuniyet, </w:t>
      </w:r>
      <w:proofErr w:type="gramStart"/>
      <w:r w:rsidR="005D6A51" w:rsidRPr="00F447E7">
        <w:rPr>
          <w:rFonts w:ascii="Times New Roman" w:hAnsi="Times New Roman" w:cs="Times New Roman"/>
        </w:rPr>
        <w:t>şikayet</w:t>
      </w:r>
      <w:proofErr w:type="gramEnd"/>
      <w:r w:rsidR="005D6A51" w:rsidRPr="00F447E7">
        <w:rPr>
          <w:rFonts w:ascii="Times New Roman" w:hAnsi="Times New Roman" w:cs="Times New Roman"/>
        </w:rPr>
        <w:t xml:space="preserve"> ve önerilerini belirlemek ve izlemek amacıyla geliştirilmiş olan yöntem ve mekanizmaların uygulandığı ve sonuçları</w:t>
      </w:r>
      <w:r w:rsidR="005D6A51">
        <w:rPr>
          <w:rFonts w:ascii="Times New Roman" w:hAnsi="Times New Roman" w:cs="Times New Roman"/>
        </w:rPr>
        <w:t>n</w:t>
      </w:r>
      <w:r w:rsidR="005D6A51" w:rsidRPr="00F447E7">
        <w:rPr>
          <w:rFonts w:ascii="Times New Roman" w:hAnsi="Times New Roman" w:cs="Times New Roman"/>
        </w:rPr>
        <w:t xml:space="preserve"> değerlendiriler</w:t>
      </w:r>
      <w:r w:rsidR="005D6A51">
        <w:rPr>
          <w:rFonts w:ascii="Times New Roman" w:hAnsi="Times New Roman" w:cs="Times New Roman"/>
        </w:rPr>
        <w:t>ek iyileştirmelerin</w:t>
      </w:r>
      <w:r w:rsidR="005D6A51" w:rsidRPr="00F447E7">
        <w:rPr>
          <w:rFonts w:ascii="Times New Roman" w:hAnsi="Times New Roman" w:cs="Times New Roman"/>
        </w:rPr>
        <w:t xml:space="preserve"> yapıldığı kanıtlanmalı</w:t>
      </w:r>
      <w:r w:rsidR="002F1FDB">
        <w:rPr>
          <w:rFonts w:ascii="Times New Roman" w:hAnsi="Times New Roman" w:cs="Times New Roman"/>
        </w:rPr>
        <w:t>dır. Ö</w:t>
      </w:r>
      <w:r w:rsidR="00855BEC">
        <w:rPr>
          <w:rFonts w:ascii="Times New Roman" w:hAnsi="Times New Roman" w:cs="Times New Roman"/>
        </w:rPr>
        <w:t>rgütsel bağlılık ve</w:t>
      </w:r>
      <w:r w:rsidR="006A4AC5">
        <w:rPr>
          <w:rFonts w:ascii="Times New Roman" w:hAnsi="Times New Roman" w:cs="Times New Roman"/>
        </w:rPr>
        <w:t xml:space="preserve"> memnuniyet anketi sonuçlarına değinilmelidir.</w:t>
      </w:r>
    </w:p>
    <w:p w:rsidR="009800B5" w:rsidRDefault="00463352" w:rsidP="009800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800B5" w:rsidRPr="007A1548">
        <w:rPr>
          <w:rFonts w:ascii="Times New Roman" w:hAnsi="Times New Roman" w:cs="Times New Roman"/>
          <w:b/>
        </w:rPr>
        <w:t>. İç ve Dış Paydaş Katılımı</w:t>
      </w:r>
    </w:p>
    <w:p w:rsidR="009800B5" w:rsidRDefault="009800B5" w:rsidP="009800B5">
      <w:pPr>
        <w:jc w:val="both"/>
        <w:rPr>
          <w:rFonts w:ascii="Times New Roman" w:hAnsi="Times New Roman" w:cs="Times New Roman"/>
        </w:rPr>
      </w:pPr>
      <w:r w:rsidRPr="00ED36DE">
        <w:rPr>
          <w:rFonts w:ascii="Times New Roman" w:hAnsi="Times New Roman" w:cs="Times New Roman"/>
        </w:rPr>
        <w:t xml:space="preserve">İç ve dış paydaşların karar alma, yönetişim ve iyileştirme süreçlerine katılım mekanizmaları </w:t>
      </w:r>
      <w:r w:rsidR="00B310B7">
        <w:rPr>
          <w:rFonts w:ascii="Times New Roman" w:hAnsi="Times New Roman" w:cs="Times New Roman"/>
        </w:rPr>
        <w:t>ortaya konulmalı</w:t>
      </w:r>
      <w:r w:rsidR="002F1F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D36DE">
        <w:rPr>
          <w:rFonts w:ascii="Times New Roman" w:hAnsi="Times New Roman" w:cs="Times New Roman"/>
        </w:rPr>
        <w:t>katılımın etkinliği, kurumsallığı ve sürekliliği irdelenme</w:t>
      </w:r>
      <w:r w:rsidR="002F1FDB">
        <w:rPr>
          <w:rFonts w:ascii="Times New Roman" w:hAnsi="Times New Roman" w:cs="Times New Roman"/>
        </w:rPr>
        <w:t>li,</w:t>
      </w:r>
      <w:r w:rsidR="006A4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ED36DE">
        <w:rPr>
          <w:rFonts w:ascii="Times New Roman" w:hAnsi="Times New Roman" w:cs="Times New Roman"/>
        </w:rPr>
        <w:t xml:space="preserve">arar alma süreçlerinde paydaş </w:t>
      </w:r>
      <w:r w:rsidRPr="00ED36DE">
        <w:rPr>
          <w:rFonts w:ascii="Times New Roman" w:hAnsi="Times New Roman" w:cs="Times New Roman"/>
        </w:rPr>
        <w:lastRenderedPageBreak/>
        <w:t>katılımının sağlandığını gösteren belgeler</w:t>
      </w:r>
      <w:r>
        <w:rPr>
          <w:rFonts w:ascii="Times New Roman" w:hAnsi="Times New Roman" w:cs="Times New Roman"/>
        </w:rPr>
        <w:t xml:space="preserve"> sunulmalıdır.</w:t>
      </w:r>
      <w:r w:rsidRPr="00ED36DE">
        <w:rPr>
          <w:rFonts w:ascii="Times New Roman" w:hAnsi="Times New Roman" w:cs="Times New Roman"/>
        </w:rPr>
        <w:t xml:space="preserve"> Paydaş katılım mekanizmalarının işleyişinin izlendiği, sonuçlar</w:t>
      </w:r>
      <w:r>
        <w:rPr>
          <w:rFonts w:ascii="Times New Roman" w:hAnsi="Times New Roman" w:cs="Times New Roman"/>
        </w:rPr>
        <w:t>ın değerlendirildiği ve buna</w:t>
      </w:r>
      <w:r w:rsidRPr="00ED36DE">
        <w:rPr>
          <w:rFonts w:ascii="Times New Roman" w:hAnsi="Times New Roman" w:cs="Times New Roman"/>
        </w:rPr>
        <w:t xml:space="preserve"> bağlı iyileştirmeler</w:t>
      </w:r>
      <w:r>
        <w:rPr>
          <w:rFonts w:ascii="Times New Roman" w:hAnsi="Times New Roman" w:cs="Times New Roman"/>
        </w:rPr>
        <w:t>in gerçekleştirildiği gösterilmelidir.</w:t>
      </w:r>
      <w:r w:rsidR="00CD0899">
        <w:rPr>
          <w:rFonts w:ascii="Times New Roman" w:hAnsi="Times New Roman" w:cs="Times New Roman"/>
        </w:rPr>
        <w:t xml:space="preserve"> </w:t>
      </w:r>
    </w:p>
    <w:p w:rsidR="009800B5" w:rsidRDefault="00463352" w:rsidP="009800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9800B5" w:rsidRPr="007A1548">
        <w:rPr>
          <w:rFonts w:ascii="Times New Roman" w:hAnsi="Times New Roman" w:cs="Times New Roman"/>
          <w:b/>
        </w:rPr>
        <w:t xml:space="preserve">. Öğrenci </w:t>
      </w:r>
      <w:r w:rsidR="00726142">
        <w:rPr>
          <w:rFonts w:ascii="Times New Roman" w:hAnsi="Times New Roman" w:cs="Times New Roman"/>
          <w:b/>
        </w:rPr>
        <w:t xml:space="preserve">ve Paydaş </w:t>
      </w:r>
      <w:r w:rsidR="009800B5" w:rsidRPr="007A1548">
        <w:rPr>
          <w:rFonts w:ascii="Times New Roman" w:hAnsi="Times New Roman" w:cs="Times New Roman"/>
          <w:b/>
        </w:rPr>
        <w:t>Geri Bildirimleri</w:t>
      </w:r>
    </w:p>
    <w:p w:rsidR="009800B5" w:rsidRPr="00F669B3" w:rsidRDefault="009800B5" w:rsidP="009800B5">
      <w:pPr>
        <w:jc w:val="both"/>
        <w:rPr>
          <w:rFonts w:ascii="Times New Roman" w:hAnsi="Times New Roman" w:cs="Times New Roman"/>
        </w:rPr>
      </w:pPr>
      <w:r w:rsidRPr="00F669B3">
        <w:rPr>
          <w:rFonts w:ascii="Times New Roman" w:hAnsi="Times New Roman" w:cs="Times New Roman"/>
        </w:rPr>
        <w:t>Öğrenci</w:t>
      </w:r>
      <w:r w:rsidR="004E05D8">
        <w:rPr>
          <w:rFonts w:ascii="Times New Roman" w:hAnsi="Times New Roman" w:cs="Times New Roman"/>
        </w:rPr>
        <w:t xml:space="preserve"> ve paydaş geribildirimleri</w:t>
      </w:r>
      <w:r w:rsidRPr="00F669B3">
        <w:rPr>
          <w:rFonts w:ascii="Times New Roman" w:hAnsi="Times New Roman" w:cs="Times New Roman"/>
        </w:rPr>
        <w:t xml:space="preserve"> için </w:t>
      </w:r>
      <w:r w:rsidR="004E05D8">
        <w:rPr>
          <w:rFonts w:ascii="Times New Roman" w:hAnsi="Times New Roman" w:cs="Times New Roman"/>
        </w:rPr>
        <w:t>kullanılan araçlar belirtilmeli</w:t>
      </w:r>
      <w:r w:rsidRPr="00F669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bunlara ilişkin </w:t>
      </w:r>
      <w:r w:rsidRPr="00F669B3">
        <w:rPr>
          <w:rFonts w:ascii="Times New Roman" w:hAnsi="Times New Roman" w:cs="Times New Roman"/>
        </w:rPr>
        <w:t>ilke ve kurallar</w:t>
      </w:r>
      <w:r>
        <w:rPr>
          <w:rFonts w:ascii="Times New Roman" w:hAnsi="Times New Roman" w:cs="Times New Roman"/>
        </w:rPr>
        <w:t xml:space="preserve"> </w:t>
      </w:r>
      <w:r w:rsidR="004E05D8">
        <w:rPr>
          <w:rFonts w:ascii="Times New Roman" w:hAnsi="Times New Roman" w:cs="Times New Roman"/>
        </w:rPr>
        <w:t xml:space="preserve">açıklanmalı, </w:t>
      </w:r>
      <w:r w:rsidRPr="00F669B3">
        <w:rPr>
          <w:rFonts w:ascii="Times New Roman" w:hAnsi="Times New Roman" w:cs="Times New Roman"/>
        </w:rPr>
        <w:t>geri bildirim mekanizmasının izlenmesi ve iyileştirilmesine yönelik kanıtlar</w:t>
      </w:r>
      <w:r>
        <w:rPr>
          <w:rFonts w:ascii="Times New Roman" w:hAnsi="Times New Roman" w:cs="Times New Roman"/>
        </w:rPr>
        <w:t>a</w:t>
      </w:r>
      <w:r w:rsidR="003527F0">
        <w:rPr>
          <w:rFonts w:ascii="Times New Roman" w:hAnsi="Times New Roman" w:cs="Times New Roman"/>
        </w:rPr>
        <w:t xml:space="preserve"> ve</w:t>
      </w:r>
      <w:r w:rsidR="00CC6DEA">
        <w:rPr>
          <w:rFonts w:ascii="Times New Roman" w:hAnsi="Times New Roman" w:cs="Times New Roman"/>
        </w:rPr>
        <w:t xml:space="preserve"> </w:t>
      </w:r>
      <w:r w:rsidR="005D65F7">
        <w:rPr>
          <w:rFonts w:ascii="Times New Roman" w:hAnsi="Times New Roman" w:cs="Times New Roman"/>
        </w:rPr>
        <w:t>istatistiki bilgilere</w:t>
      </w:r>
      <w:r>
        <w:rPr>
          <w:rFonts w:ascii="Times New Roman" w:hAnsi="Times New Roman" w:cs="Times New Roman"/>
        </w:rPr>
        <w:t xml:space="preserve"> yer verilmelidir.</w:t>
      </w:r>
    </w:p>
    <w:p w:rsidR="00E674CB" w:rsidRDefault="003B6960" w:rsidP="00E674CB">
      <w:pPr>
        <w:jc w:val="both"/>
      </w:pPr>
      <w:r>
        <w:rPr>
          <w:rFonts w:ascii="Times New Roman" w:hAnsi="Times New Roman" w:cs="Times New Roman"/>
          <w:b/>
        </w:rPr>
        <w:t>6</w:t>
      </w:r>
      <w:r w:rsidR="00E674CB" w:rsidRPr="009A71E7">
        <w:rPr>
          <w:rFonts w:ascii="Times New Roman" w:hAnsi="Times New Roman" w:cs="Times New Roman"/>
          <w:b/>
        </w:rPr>
        <w:t xml:space="preserve">. </w:t>
      </w:r>
      <w:r w:rsidR="00BB1EBB">
        <w:rPr>
          <w:rFonts w:ascii="Times New Roman" w:hAnsi="Times New Roman" w:cs="Times New Roman"/>
          <w:b/>
        </w:rPr>
        <w:t>Uluslararasılaşma</w:t>
      </w:r>
      <w:r w:rsidR="008F08D4" w:rsidRPr="008F08D4">
        <w:rPr>
          <w:rFonts w:ascii="Times New Roman" w:hAnsi="Times New Roman" w:cs="Times New Roman"/>
          <w:b/>
        </w:rPr>
        <w:t xml:space="preserve"> Süreçlerinin Yönetimi </w:t>
      </w:r>
    </w:p>
    <w:p w:rsidR="00B0448C" w:rsidRDefault="003B6960" w:rsidP="00B0448C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Birimde </w:t>
      </w:r>
      <w:r w:rsidR="0083632A">
        <w:rPr>
          <w:rFonts w:ascii="Times New Roman" w:hAnsi="Times New Roman" w:cs="Times New Roman"/>
        </w:rPr>
        <w:t xml:space="preserve">Üniversitenin </w:t>
      </w:r>
      <w:r w:rsidR="00BB1EBB">
        <w:rPr>
          <w:rFonts w:ascii="Times New Roman" w:hAnsi="Times New Roman" w:cs="Times New Roman"/>
        </w:rPr>
        <w:t xml:space="preserve">Uluslararasılaşma </w:t>
      </w:r>
      <w:r w:rsidR="00BB1EBB" w:rsidRPr="004B25C5">
        <w:rPr>
          <w:rFonts w:ascii="Times New Roman" w:hAnsi="Times New Roman" w:cs="Times New Roman"/>
        </w:rPr>
        <w:t>Politikası</w:t>
      </w:r>
      <w:r>
        <w:rPr>
          <w:rFonts w:ascii="Times New Roman" w:hAnsi="Times New Roman" w:cs="Times New Roman"/>
        </w:rPr>
        <w:t xml:space="preserve"> ve Stratejik Planı doğrultusunda yapılan çalışmalar, </w:t>
      </w:r>
      <w:r w:rsidR="005E5C9B">
        <w:rPr>
          <w:rFonts w:ascii="Times New Roman" w:hAnsi="Times New Roman" w:cs="Times New Roman"/>
        </w:rPr>
        <w:t xml:space="preserve">alınan kararlar, </w:t>
      </w:r>
      <w:r>
        <w:rPr>
          <w:rFonts w:ascii="Times New Roman" w:hAnsi="Times New Roman" w:cs="Times New Roman"/>
        </w:rPr>
        <w:t>kullanılan kaynaklar</w:t>
      </w:r>
      <w:r w:rsidR="00A760D1">
        <w:rPr>
          <w:rFonts w:ascii="Times New Roman" w:hAnsi="Times New Roman" w:cs="Times New Roman"/>
        </w:rPr>
        <w:t>, uluslararasılaşma bağlamındaki i</w:t>
      </w:r>
      <w:r w:rsidR="00A760D1" w:rsidRPr="00920193">
        <w:rPr>
          <w:rFonts w:ascii="Times New Roman" w:hAnsi="Times New Roman" w:cs="Times New Roman"/>
        </w:rPr>
        <w:t>ş birlikleri ve destekler</w:t>
      </w:r>
      <w:r w:rsidR="00A760D1">
        <w:rPr>
          <w:rFonts w:ascii="Times New Roman" w:hAnsi="Times New Roman" w:cs="Times New Roman"/>
        </w:rPr>
        <w:t xml:space="preserve"> ile</w:t>
      </w:r>
      <w:r>
        <w:rPr>
          <w:rFonts w:ascii="Times New Roman" w:hAnsi="Times New Roman" w:cs="Times New Roman"/>
        </w:rPr>
        <w:t xml:space="preserve"> uluslararasılaşma süreçlerinin yönetimine ilişkin bilgilere yer </w:t>
      </w:r>
      <w:r w:rsidR="00E75228">
        <w:rPr>
          <w:rFonts w:ascii="Times New Roman" w:hAnsi="Times New Roman" w:cs="Times New Roman"/>
        </w:rPr>
        <w:t>verilmelidir</w:t>
      </w:r>
      <w:r>
        <w:rPr>
          <w:rFonts w:ascii="Times New Roman" w:hAnsi="Times New Roman" w:cs="Times New Roman"/>
        </w:rPr>
        <w:t>.</w:t>
      </w:r>
    </w:p>
    <w:p w:rsidR="003B6960" w:rsidRDefault="00920193" w:rsidP="00307A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A</w:t>
      </w:r>
      <w:r w:rsidR="001A6E4D">
        <w:rPr>
          <w:rFonts w:ascii="Times New Roman" w:hAnsi="Times New Roman" w:cs="Times New Roman"/>
          <w:b/>
        </w:rPr>
        <w:t>r-</w:t>
      </w:r>
      <w:proofErr w:type="spellStart"/>
      <w:r>
        <w:rPr>
          <w:rFonts w:ascii="Times New Roman" w:hAnsi="Times New Roman" w:cs="Times New Roman"/>
          <w:b/>
        </w:rPr>
        <w:t>G</w:t>
      </w:r>
      <w:r w:rsidR="001A6E4D">
        <w:rPr>
          <w:rFonts w:ascii="Times New Roman" w:hAnsi="Times New Roman" w:cs="Times New Roman"/>
          <w:b/>
        </w:rPr>
        <w:t>e</w:t>
      </w:r>
      <w:proofErr w:type="spellEnd"/>
      <w:r>
        <w:rPr>
          <w:rFonts w:ascii="Times New Roman" w:hAnsi="Times New Roman" w:cs="Times New Roman"/>
          <w:b/>
        </w:rPr>
        <w:t xml:space="preserve"> ve Yenilikçilik </w:t>
      </w:r>
      <w:r w:rsidRPr="008F08D4">
        <w:rPr>
          <w:rFonts w:ascii="Times New Roman" w:hAnsi="Times New Roman" w:cs="Times New Roman"/>
          <w:b/>
        </w:rPr>
        <w:t>Süreçlerinin Yönetimi</w:t>
      </w:r>
    </w:p>
    <w:p w:rsidR="00920193" w:rsidRDefault="00920193" w:rsidP="0092019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Birimde Üniversitenin </w:t>
      </w:r>
      <w:r w:rsidR="001A6E4D" w:rsidRPr="001A6E4D">
        <w:rPr>
          <w:rFonts w:ascii="Times New Roman" w:hAnsi="Times New Roman" w:cs="Times New Roman"/>
        </w:rPr>
        <w:t>Ar-</w:t>
      </w:r>
      <w:proofErr w:type="spellStart"/>
      <w:r w:rsidR="001A6E4D" w:rsidRPr="001A6E4D">
        <w:rPr>
          <w:rFonts w:ascii="Times New Roman" w:hAnsi="Times New Roman" w:cs="Times New Roman"/>
        </w:rPr>
        <w:t>Ge</w:t>
      </w:r>
      <w:proofErr w:type="spellEnd"/>
      <w:r w:rsidR="001A6E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ve Yenilikçilik </w:t>
      </w:r>
      <w:r w:rsidRPr="004B25C5">
        <w:rPr>
          <w:rFonts w:ascii="Times New Roman" w:hAnsi="Times New Roman" w:cs="Times New Roman"/>
        </w:rPr>
        <w:t>Politikası</w:t>
      </w:r>
      <w:r>
        <w:rPr>
          <w:rFonts w:ascii="Times New Roman" w:hAnsi="Times New Roman" w:cs="Times New Roman"/>
        </w:rPr>
        <w:t xml:space="preserve"> ile Stratejik Planı doğrultusunda yapılan çalışmalar, </w:t>
      </w:r>
      <w:r w:rsidR="005E5C9B">
        <w:rPr>
          <w:rFonts w:ascii="Times New Roman" w:hAnsi="Times New Roman" w:cs="Times New Roman"/>
        </w:rPr>
        <w:t xml:space="preserve">alınan kararlar, </w:t>
      </w:r>
      <w:r>
        <w:rPr>
          <w:rFonts w:ascii="Times New Roman" w:hAnsi="Times New Roman" w:cs="Times New Roman"/>
        </w:rPr>
        <w:t xml:space="preserve">kullanılan kaynaklar, </w:t>
      </w:r>
      <w:r w:rsidR="001A6E4D" w:rsidRPr="001A6E4D">
        <w:rPr>
          <w:rFonts w:ascii="Times New Roman" w:hAnsi="Times New Roman" w:cs="Times New Roman"/>
        </w:rPr>
        <w:t>Ar-</w:t>
      </w:r>
      <w:proofErr w:type="spellStart"/>
      <w:r w:rsidR="001A6E4D" w:rsidRPr="001A6E4D">
        <w:rPr>
          <w:rFonts w:ascii="Times New Roman" w:hAnsi="Times New Roman" w:cs="Times New Roman"/>
        </w:rPr>
        <w:t>Ge</w:t>
      </w:r>
      <w:proofErr w:type="spellEnd"/>
      <w:r w:rsidR="001A6E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yetkinliğine ilişkin </w:t>
      </w:r>
      <w:r w:rsidRPr="00920193">
        <w:rPr>
          <w:rFonts w:ascii="Times New Roman" w:hAnsi="Times New Roman" w:cs="Times New Roman"/>
        </w:rPr>
        <w:t>iş birlikleri ve destekler</w:t>
      </w:r>
      <w:r>
        <w:rPr>
          <w:rFonts w:ascii="Times New Roman" w:hAnsi="Times New Roman" w:cs="Times New Roman"/>
        </w:rPr>
        <w:t xml:space="preserve"> </w:t>
      </w:r>
      <w:r w:rsidR="00910623"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</w:rPr>
        <w:t xml:space="preserve"> </w:t>
      </w:r>
      <w:r w:rsidR="001A6E4D" w:rsidRPr="001A6E4D">
        <w:rPr>
          <w:rFonts w:ascii="Times New Roman" w:hAnsi="Times New Roman" w:cs="Times New Roman"/>
        </w:rPr>
        <w:t>Ar-</w:t>
      </w:r>
      <w:proofErr w:type="spellStart"/>
      <w:r w:rsidR="001A6E4D" w:rsidRPr="001A6E4D">
        <w:rPr>
          <w:rFonts w:ascii="Times New Roman" w:hAnsi="Times New Roman" w:cs="Times New Roman"/>
        </w:rPr>
        <w:t>Ge</w:t>
      </w:r>
      <w:proofErr w:type="spellEnd"/>
      <w:r w:rsidR="001A6E4D">
        <w:rPr>
          <w:rFonts w:ascii="Times New Roman" w:hAnsi="Times New Roman" w:cs="Times New Roman"/>
          <w:b/>
        </w:rPr>
        <w:t xml:space="preserve"> </w:t>
      </w:r>
      <w:r w:rsidR="00910623">
        <w:rPr>
          <w:rFonts w:ascii="Times New Roman" w:hAnsi="Times New Roman" w:cs="Times New Roman"/>
        </w:rPr>
        <w:t xml:space="preserve">ve yenilikçilik </w:t>
      </w:r>
      <w:r>
        <w:rPr>
          <w:rFonts w:ascii="Times New Roman" w:hAnsi="Times New Roman" w:cs="Times New Roman"/>
        </w:rPr>
        <w:t xml:space="preserve">süreçlerinin yönetimine ilişkin bilgilere yer </w:t>
      </w:r>
      <w:r w:rsidR="00E75228">
        <w:rPr>
          <w:rFonts w:ascii="Times New Roman" w:hAnsi="Times New Roman" w:cs="Times New Roman"/>
        </w:rPr>
        <w:t>verilmelidir</w:t>
      </w:r>
      <w:r>
        <w:rPr>
          <w:rFonts w:ascii="Times New Roman" w:hAnsi="Times New Roman" w:cs="Times New Roman"/>
        </w:rPr>
        <w:t>.</w:t>
      </w:r>
    </w:p>
    <w:p w:rsidR="00856C87" w:rsidRPr="009A71E7" w:rsidRDefault="00856C87" w:rsidP="00856C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9A71E7">
        <w:rPr>
          <w:rFonts w:ascii="Times New Roman" w:hAnsi="Times New Roman" w:cs="Times New Roman"/>
          <w:b/>
        </w:rPr>
        <w:t>Toplumsal Katkı Süreçlerinin Yönetimi</w:t>
      </w:r>
    </w:p>
    <w:p w:rsidR="00856C87" w:rsidRDefault="00856C87" w:rsidP="00856C8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Birimde Üniversitenin Toplumsal Katkı </w:t>
      </w:r>
      <w:r w:rsidRPr="004B25C5">
        <w:rPr>
          <w:rFonts w:ascii="Times New Roman" w:hAnsi="Times New Roman" w:cs="Times New Roman"/>
        </w:rPr>
        <w:t>Politikası</w:t>
      </w:r>
      <w:r>
        <w:rPr>
          <w:rFonts w:ascii="Times New Roman" w:hAnsi="Times New Roman" w:cs="Times New Roman"/>
        </w:rPr>
        <w:t xml:space="preserve"> ile Stratejik Planı doğrultusunda yapılan çalışmalar, alınan kararlar, kullanılan kaynaklar, toplumsal katkı bağlamındaki i</w:t>
      </w:r>
      <w:r w:rsidRPr="00920193">
        <w:rPr>
          <w:rFonts w:ascii="Times New Roman" w:hAnsi="Times New Roman" w:cs="Times New Roman"/>
        </w:rPr>
        <w:t>ş birlikleri ve destekler</w:t>
      </w:r>
      <w:r>
        <w:rPr>
          <w:rFonts w:ascii="Times New Roman" w:hAnsi="Times New Roman" w:cs="Times New Roman"/>
        </w:rPr>
        <w:t xml:space="preserve"> ile toplumsal katkı süreçlerinin yönetimine ilişkin bilgilere yer </w:t>
      </w:r>
      <w:r w:rsidR="00E75228">
        <w:rPr>
          <w:rFonts w:ascii="Times New Roman" w:hAnsi="Times New Roman" w:cs="Times New Roman"/>
        </w:rPr>
        <w:t>verilmelidir</w:t>
      </w:r>
      <w:r>
        <w:rPr>
          <w:rFonts w:ascii="Times New Roman" w:hAnsi="Times New Roman" w:cs="Times New Roman"/>
        </w:rPr>
        <w:t>.</w:t>
      </w:r>
    </w:p>
    <w:p w:rsidR="00307A8B" w:rsidRDefault="00DB2573" w:rsidP="00307A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307A8B">
        <w:rPr>
          <w:rFonts w:ascii="Times New Roman" w:hAnsi="Times New Roman" w:cs="Times New Roman"/>
          <w:b/>
        </w:rPr>
        <w:t>. Değerlendirme Takımı Raporları ile Geri Bildirim ve İyileştirme Raporlarında Dikkat Çeken Hususlara Yönelik Notlar</w:t>
      </w:r>
    </w:p>
    <w:p w:rsidR="005A3AD0" w:rsidRDefault="00DB2573" w:rsidP="006A67F2">
      <w:pPr>
        <w:jc w:val="both"/>
        <w:rPr>
          <w:rFonts w:ascii="Times New Roman" w:hAnsi="Times New Roman" w:cs="Times New Roman"/>
        </w:rPr>
      </w:pPr>
      <w:r w:rsidRPr="00DB2573">
        <w:rPr>
          <w:rFonts w:ascii="Times New Roman" w:hAnsi="Times New Roman" w:cs="Times New Roman"/>
        </w:rPr>
        <w:t xml:space="preserve">Birime yönelik gerçekleştirilen İç Değerlendirici Raporları ve buna cevaben hazırlanan Geri Bildirim ve İyileştirme Raporlarında dikkat çeken hususlara yönelik </w:t>
      </w:r>
      <w:r w:rsidR="00E07327">
        <w:rPr>
          <w:rFonts w:ascii="Times New Roman" w:hAnsi="Times New Roman" w:cs="Times New Roman"/>
        </w:rPr>
        <w:t>notlara/</w:t>
      </w:r>
      <w:r w:rsidRPr="00DB2573">
        <w:rPr>
          <w:rFonts w:ascii="Times New Roman" w:hAnsi="Times New Roman" w:cs="Times New Roman"/>
        </w:rPr>
        <w:t>özet bilgilere</w:t>
      </w:r>
      <w:r w:rsidR="006C36C0">
        <w:rPr>
          <w:rFonts w:ascii="Times New Roman" w:hAnsi="Times New Roman" w:cs="Times New Roman"/>
        </w:rPr>
        <w:t xml:space="preserve"> </w:t>
      </w:r>
      <w:r w:rsidRPr="00DB2573">
        <w:rPr>
          <w:rFonts w:ascii="Times New Roman" w:hAnsi="Times New Roman" w:cs="Times New Roman"/>
        </w:rPr>
        <w:t xml:space="preserve">yer </w:t>
      </w:r>
      <w:r w:rsidR="004977FA">
        <w:rPr>
          <w:rFonts w:ascii="Times New Roman" w:hAnsi="Times New Roman" w:cs="Times New Roman"/>
        </w:rPr>
        <w:t>verilmelidir</w:t>
      </w:r>
      <w:r w:rsidRPr="00DB2573">
        <w:rPr>
          <w:rFonts w:ascii="Times New Roman" w:hAnsi="Times New Roman" w:cs="Times New Roman"/>
        </w:rPr>
        <w:t>.</w:t>
      </w:r>
    </w:p>
    <w:p w:rsidR="006C36C0" w:rsidRPr="006C36C0" w:rsidRDefault="006C36C0" w:rsidP="006A67F2">
      <w:pPr>
        <w:jc w:val="both"/>
        <w:rPr>
          <w:rFonts w:ascii="Times New Roman" w:hAnsi="Times New Roman" w:cs="Times New Roman"/>
          <w:b/>
        </w:rPr>
      </w:pPr>
      <w:r w:rsidRPr="006C36C0">
        <w:rPr>
          <w:rFonts w:ascii="Times New Roman" w:hAnsi="Times New Roman" w:cs="Times New Roman"/>
          <w:b/>
        </w:rPr>
        <w:t xml:space="preserve">10. PUKÖ Eylem Planı </w:t>
      </w:r>
    </w:p>
    <w:p w:rsidR="006C36C0" w:rsidRPr="00DB2573" w:rsidRDefault="006C36C0" w:rsidP="006A67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Birimde PUKÖ Eylem Planı kapsamında gerçekleştirilen faaliyetlere ilişkin bilgilere yer </w:t>
      </w:r>
      <w:r w:rsidR="004977FA">
        <w:rPr>
          <w:rFonts w:ascii="Times New Roman" w:hAnsi="Times New Roman" w:cs="Times New Roman"/>
        </w:rPr>
        <w:t>verilmelidir</w:t>
      </w:r>
      <w:r>
        <w:rPr>
          <w:rFonts w:ascii="Times New Roman" w:hAnsi="Times New Roman" w:cs="Times New Roman"/>
        </w:rPr>
        <w:t xml:space="preserve">. </w:t>
      </w:r>
    </w:p>
    <w:p w:rsidR="00FC1567" w:rsidRDefault="00FC1567" w:rsidP="006A67F2">
      <w:pPr>
        <w:jc w:val="both"/>
        <w:rPr>
          <w:rFonts w:ascii="Times New Roman" w:hAnsi="Times New Roman" w:cs="Times New Roman"/>
          <w:b/>
        </w:rPr>
      </w:pPr>
      <w:r w:rsidRPr="00FC1567">
        <w:rPr>
          <w:rFonts w:ascii="Times New Roman" w:hAnsi="Times New Roman" w:cs="Times New Roman"/>
          <w:b/>
        </w:rPr>
        <w:t>SONUÇ VE DEĞERLENDİRME</w:t>
      </w:r>
    </w:p>
    <w:p w:rsidR="00FC1567" w:rsidRDefault="000D5679" w:rsidP="006A67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Sonuç ve değerlendirme yazıla</w:t>
      </w:r>
      <w:r w:rsidR="00BA5BA1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k</w:t>
      </w:r>
      <w:r w:rsidR="00BA5BA1">
        <w:rPr>
          <w:rFonts w:ascii="Times New Roman" w:hAnsi="Times New Roman" w:cs="Times New Roman"/>
        </w:rPr>
        <w:t>,</w:t>
      </w:r>
      <w:r w:rsidR="004977FA">
        <w:rPr>
          <w:rFonts w:ascii="Times New Roman" w:hAnsi="Times New Roman" w:cs="Times New Roman"/>
        </w:rPr>
        <w:t xml:space="preserve"> geleceğe dönük beklenti ve hedeflere yer verilecektir.</w:t>
      </w: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/……../20...</w:t>
      </w: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78" w:type="dxa"/>
        <w:jc w:val="center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28"/>
        <w:gridCol w:w="3538"/>
        <w:gridCol w:w="1512"/>
      </w:tblGrid>
      <w:tr w:rsidR="0066188C" w:rsidTr="001072B2">
        <w:trPr>
          <w:trHeight w:val="468"/>
          <w:jc w:val="center"/>
        </w:trPr>
        <w:tc>
          <w:tcPr>
            <w:tcW w:w="4128" w:type="dxa"/>
            <w:tcBorders>
              <w:top w:val="nil"/>
              <w:bottom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66188C" w:rsidTr="001072B2">
        <w:trPr>
          <w:trHeight w:val="468"/>
          <w:jc w:val="center"/>
        </w:trPr>
        <w:tc>
          <w:tcPr>
            <w:tcW w:w="4128" w:type="dxa"/>
            <w:tcBorders>
              <w:top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Kalite Komisyonu Başkanı: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8C" w:rsidTr="001072B2">
        <w:trPr>
          <w:trHeight w:val="468"/>
          <w:jc w:val="center"/>
        </w:trPr>
        <w:tc>
          <w:tcPr>
            <w:tcW w:w="4128" w:type="dxa"/>
            <w:tcBorders>
              <w:bottom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Kalite Komisyonu Üyesi: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8C" w:rsidTr="001072B2">
        <w:trPr>
          <w:trHeight w:val="468"/>
          <w:jc w:val="center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Kalite Komisyonu Üyesi: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88C" w:rsidRDefault="0066188C" w:rsidP="0010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Default="0066188C" w:rsidP="006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88C" w:rsidRPr="00FC1567" w:rsidRDefault="0066188C" w:rsidP="006A67F2">
      <w:pPr>
        <w:jc w:val="both"/>
        <w:rPr>
          <w:rFonts w:ascii="Times New Roman" w:hAnsi="Times New Roman" w:cs="Times New Roman"/>
        </w:rPr>
      </w:pPr>
    </w:p>
    <w:sectPr w:rsidR="0066188C" w:rsidRPr="00FC1567" w:rsidSect="00A159C4">
      <w:headerReference w:type="default" r:id="rId9"/>
      <w:footerReference w:type="default" r:id="rId10"/>
      <w:pgSz w:w="11906" w:h="16838"/>
      <w:pgMar w:top="1417" w:right="1417" w:bottom="1417" w:left="1417" w:header="708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88" w:rsidRDefault="00207388" w:rsidP="00A159C4">
      <w:pPr>
        <w:spacing w:after="0" w:line="240" w:lineRule="auto"/>
      </w:pPr>
      <w:r>
        <w:separator/>
      </w:r>
    </w:p>
  </w:endnote>
  <w:endnote w:type="continuationSeparator" w:id="0">
    <w:p w:rsidR="00207388" w:rsidRDefault="00207388" w:rsidP="00A1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151"/>
      <w:gridCol w:w="3259"/>
      <w:gridCol w:w="3371"/>
    </w:tblGrid>
    <w:tr w:rsidR="00A159C4" w:rsidRPr="00192AC1" w:rsidTr="00B75C0B">
      <w:trPr>
        <w:trHeight w:val="498"/>
        <w:jc w:val="center"/>
      </w:trPr>
      <w:tc>
        <w:tcPr>
          <w:tcW w:w="3151" w:type="dxa"/>
          <w:shd w:val="clear" w:color="auto" w:fill="auto"/>
        </w:tcPr>
        <w:p w:rsidR="00A159C4" w:rsidRDefault="00A159C4" w:rsidP="00B75C0B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A78CF">
            <w:rPr>
              <w:rFonts w:ascii="Times New Roman" w:hAnsi="Times New Roman" w:cs="Times New Roman"/>
            </w:rPr>
            <w:t>Hazırlayan</w:t>
          </w:r>
        </w:p>
        <w:p w:rsidR="00A159C4" w:rsidRPr="007A78CF" w:rsidRDefault="00A159C4" w:rsidP="006C0824">
          <w:pPr>
            <w:pStyle w:val="Al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259" w:type="dxa"/>
          <w:shd w:val="clear" w:color="auto" w:fill="auto"/>
        </w:tcPr>
        <w:p w:rsidR="00A159C4" w:rsidRPr="007A78CF" w:rsidRDefault="00A159C4" w:rsidP="00B75C0B">
          <w:pPr>
            <w:pStyle w:val="Al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371" w:type="dxa"/>
          <w:shd w:val="clear" w:color="auto" w:fill="auto"/>
        </w:tcPr>
        <w:p w:rsidR="00A159C4" w:rsidRDefault="00A159C4" w:rsidP="00B75C0B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A78CF">
            <w:rPr>
              <w:rFonts w:ascii="Times New Roman" w:hAnsi="Times New Roman" w:cs="Times New Roman"/>
            </w:rPr>
            <w:t>Kalite Sistem Onayı</w:t>
          </w:r>
        </w:p>
        <w:p w:rsidR="00495070" w:rsidRDefault="00495070" w:rsidP="006C0824">
          <w:pPr>
            <w:pStyle w:val="Altbilgi"/>
            <w:jc w:val="center"/>
            <w:rPr>
              <w:rFonts w:ascii="Times New Roman" w:hAnsi="Times New Roman" w:cs="Times New Roman"/>
            </w:rPr>
          </w:pPr>
        </w:p>
        <w:p w:rsidR="00C718A0" w:rsidRPr="007A78CF" w:rsidRDefault="00C718A0" w:rsidP="006C0824">
          <w:pPr>
            <w:pStyle w:val="Altbilgi"/>
            <w:jc w:val="center"/>
            <w:rPr>
              <w:rFonts w:ascii="Times New Roman" w:hAnsi="Times New Roman" w:cs="Times New Roman"/>
            </w:rPr>
          </w:pPr>
        </w:p>
      </w:tc>
    </w:tr>
  </w:tbl>
  <w:p w:rsidR="00A159C4" w:rsidRDefault="00A159C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88" w:rsidRDefault="00207388" w:rsidP="00A159C4">
      <w:pPr>
        <w:spacing w:after="0" w:line="240" w:lineRule="auto"/>
      </w:pPr>
      <w:r>
        <w:separator/>
      </w:r>
    </w:p>
  </w:footnote>
  <w:footnote w:type="continuationSeparator" w:id="0">
    <w:p w:rsidR="00207388" w:rsidRDefault="00207388" w:rsidP="00A1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58"/>
      <w:gridCol w:w="272"/>
      <w:gridCol w:w="4555"/>
      <w:gridCol w:w="1846"/>
      <w:gridCol w:w="1600"/>
    </w:tblGrid>
    <w:tr w:rsidR="00A159C4" w:rsidTr="00B75C0B">
      <w:trPr>
        <w:trHeight w:val="345"/>
        <w:jc w:val="center"/>
      </w:trPr>
      <w:tc>
        <w:tcPr>
          <w:tcW w:w="15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159C4" w:rsidRDefault="00A159C4" w:rsidP="00B75C0B">
          <w:pPr>
            <w:pStyle w:val="stbilgi"/>
            <w:spacing w:line="276" w:lineRule="auto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-36830</wp:posOffset>
                </wp:positionV>
                <wp:extent cx="861695" cy="793115"/>
                <wp:effectExtent l="19050" t="0" r="0" b="0"/>
                <wp:wrapNone/>
                <wp:docPr id="5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695" cy="7931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  <w:hideMark/>
        </w:tcPr>
        <w:p w:rsidR="00A159C4" w:rsidRDefault="00A159C4" w:rsidP="00B75C0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4555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:rsidR="00A159C4" w:rsidRDefault="00EA46F3" w:rsidP="00B75C0B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>BİRİM ÖZ</w:t>
          </w:r>
          <w:r w:rsidR="00A159C4" w:rsidRPr="00E90E2A">
            <w:rPr>
              <w:rFonts w:ascii="Times New Roman" w:eastAsia="Times New Roman" w:hAnsi="Times New Roman" w:cs="Times New Roman"/>
              <w:b/>
              <w:sz w:val="26"/>
              <w:szCs w:val="26"/>
            </w:rPr>
            <w:t xml:space="preserve"> DEĞERLENDİRME RAPORU FORMU</w:t>
          </w: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59C4" w:rsidRDefault="00A159C4" w:rsidP="00B75C0B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Doküman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59C4" w:rsidRDefault="00A159C4" w:rsidP="00EA46F3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FR-5</w:t>
          </w:r>
          <w:r w:rsidR="00EA46F3">
            <w:rPr>
              <w:rFonts w:ascii="Times New Roman" w:hAnsi="Times New Roman" w:cs="Times New Roman"/>
            </w:rPr>
            <w:t>70</w:t>
          </w:r>
        </w:p>
      </w:tc>
    </w:tr>
    <w:tr w:rsidR="00A159C4" w:rsidTr="00B75C0B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159C4" w:rsidRDefault="00A159C4" w:rsidP="00B75C0B">
          <w:pPr>
            <w:spacing w:after="0" w:line="240" w:lineRule="auto"/>
          </w:pPr>
        </w:p>
      </w:tc>
      <w:tc>
        <w:tcPr>
          <w:tcW w:w="272" w:type="dxa"/>
          <w:vMerge/>
          <w:tcBorders>
            <w:left w:val="nil"/>
            <w:right w:val="single" w:sz="4" w:space="0" w:color="auto"/>
          </w:tcBorders>
          <w:vAlign w:val="center"/>
          <w:hideMark/>
        </w:tcPr>
        <w:p w:rsidR="00A159C4" w:rsidRDefault="00A159C4" w:rsidP="00B75C0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left w:val="nil"/>
            <w:right w:val="single" w:sz="4" w:space="0" w:color="auto"/>
          </w:tcBorders>
          <w:vAlign w:val="center"/>
        </w:tcPr>
        <w:p w:rsidR="00A159C4" w:rsidRDefault="00A159C4" w:rsidP="00B75C0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59C4" w:rsidRDefault="00A159C4" w:rsidP="00B75C0B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59C4" w:rsidRDefault="000F07D9" w:rsidP="000F07D9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02</w:t>
          </w:r>
          <w:r w:rsidR="00A159C4">
            <w:rPr>
              <w:rFonts w:ascii="Times New Roman" w:hAnsi="Times New Roman" w:cs="Times New Roman"/>
            </w:rPr>
            <w:t>.</w:t>
          </w:r>
          <w:r w:rsidR="00EA46F3"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t>2</w:t>
          </w:r>
          <w:r w:rsidR="00A159C4">
            <w:rPr>
              <w:rFonts w:ascii="Times New Roman" w:hAnsi="Times New Roman" w:cs="Times New Roman"/>
            </w:rPr>
            <w:t>.2024</w:t>
          </w:r>
        </w:p>
      </w:tc>
    </w:tr>
    <w:tr w:rsidR="00A159C4" w:rsidTr="00B75C0B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159C4" w:rsidRDefault="00A159C4" w:rsidP="00B75C0B">
          <w:pPr>
            <w:spacing w:after="0" w:line="240" w:lineRule="auto"/>
          </w:pPr>
        </w:p>
      </w:tc>
      <w:tc>
        <w:tcPr>
          <w:tcW w:w="272" w:type="dxa"/>
          <w:vMerge/>
          <w:tcBorders>
            <w:left w:val="nil"/>
            <w:right w:val="single" w:sz="4" w:space="0" w:color="auto"/>
          </w:tcBorders>
          <w:vAlign w:val="center"/>
          <w:hideMark/>
        </w:tcPr>
        <w:p w:rsidR="00A159C4" w:rsidRDefault="00A159C4" w:rsidP="00B75C0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left w:val="nil"/>
            <w:right w:val="single" w:sz="4" w:space="0" w:color="auto"/>
          </w:tcBorders>
          <w:vAlign w:val="center"/>
        </w:tcPr>
        <w:p w:rsidR="00A159C4" w:rsidRDefault="00A159C4" w:rsidP="00B75C0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59C4" w:rsidRDefault="00A159C4" w:rsidP="00B75C0B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59C4" w:rsidRDefault="00A159C4" w:rsidP="00B75C0B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</w:p>
      </w:tc>
    </w:tr>
    <w:tr w:rsidR="00A159C4" w:rsidTr="00B75C0B">
      <w:trPr>
        <w:trHeight w:val="34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159C4" w:rsidRDefault="00A159C4" w:rsidP="00B75C0B">
          <w:pPr>
            <w:spacing w:after="0" w:line="240" w:lineRule="auto"/>
          </w:pPr>
        </w:p>
      </w:tc>
      <w:tc>
        <w:tcPr>
          <w:tcW w:w="272" w:type="dxa"/>
          <w:vMerge/>
          <w:tcBorders>
            <w:left w:val="nil"/>
            <w:right w:val="single" w:sz="4" w:space="0" w:color="auto"/>
          </w:tcBorders>
          <w:vAlign w:val="center"/>
          <w:hideMark/>
        </w:tcPr>
        <w:p w:rsidR="00A159C4" w:rsidRDefault="00A159C4" w:rsidP="00B75C0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left w:val="nil"/>
            <w:right w:val="single" w:sz="4" w:space="0" w:color="auto"/>
          </w:tcBorders>
          <w:vAlign w:val="center"/>
        </w:tcPr>
        <w:p w:rsidR="00A159C4" w:rsidRDefault="00A159C4" w:rsidP="00B75C0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59C4" w:rsidRDefault="00A159C4" w:rsidP="00B75C0B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Revizyon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59C4" w:rsidRDefault="00A159C4" w:rsidP="00B75C0B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00</w:t>
          </w:r>
        </w:p>
      </w:tc>
    </w:tr>
    <w:tr w:rsidR="00A159C4" w:rsidTr="00B75C0B">
      <w:trPr>
        <w:trHeight w:val="8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159C4" w:rsidRDefault="00A159C4" w:rsidP="00B75C0B">
          <w:pPr>
            <w:spacing w:after="0" w:line="240" w:lineRule="auto"/>
          </w:pPr>
        </w:p>
      </w:tc>
      <w:tc>
        <w:tcPr>
          <w:tcW w:w="272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59C4" w:rsidRDefault="00A159C4" w:rsidP="00B75C0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4555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A159C4" w:rsidRDefault="00A159C4" w:rsidP="00B75C0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59C4" w:rsidRDefault="00A159C4" w:rsidP="00B75C0B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Sayfa No</w:t>
          </w:r>
        </w:p>
      </w:tc>
      <w:tc>
        <w:tcPr>
          <w:tcW w:w="1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159C4" w:rsidRPr="002A3FFD" w:rsidRDefault="00446414" w:rsidP="00B75C0B">
          <w:pPr>
            <w:pStyle w:val="stbilgi"/>
            <w:spacing w:line="276" w:lineRule="auto"/>
            <w:rPr>
              <w:rFonts w:ascii="Times New Roman" w:hAnsi="Times New Roman" w:cs="Times New Roman"/>
            </w:rPr>
          </w:pPr>
          <w:r w:rsidRPr="002A3FFD">
            <w:rPr>
              <w:rFonts w:ascii="Times New Roman" w:hAnsi="Times New Roman"/>
            </w:rPr>
            <w:fldChar w:fldCharType="begin"/>
          </w:r>
          <w:r w:rsidR="00A159C4" w:rsidRPr="002A3FFD">
            <w:rPr>
              <w:rFonts w:ascii="Times New Roman" w:hAnsi="Times New Roman"/>
            </w:rPr>
            <w:instrText xml:space="preserve"> PAGE </w:instrText>
          </w:r>
          <w:r w:rsidRPr="002A3FFD">
            <w:rPr>
              <w:rFonts w:ascii="Times New Roman" w:hAnsi="Times New Roman"/>
            </w:rPr>
            <w:fldChar w:fldCharType="separate"/>
          </w:r>
          <w:r w:rsidR="00C718A0">
            <w:rPr>
              <w:rFonts w:ascii="Times New Roman" w:hAnsi="Times New Roman"/>
              <w:noProof/>
            </w:rPr>
            <w:t>3</w:t>
          </w:r>
          <w:r w:rsidRPr="002A3FFD">
            <w:rPr>
              <w:rFonts w:ascii="Times New Roman" w:hAnsi="Times New Roman"/>
            </w:rPr>
            <w:fldChar w:fldCharType="end"/>
          </w:r>
          <w:r w:rsidR="00A159C4" w:rsidRPr="002A3FFD">
            <w:rPr>
              <w:rFonts w:ascii="Times New Roman" w:hAnsi="Times New Roman"/>
            </w:rPr>
            <w:t xml:space="preserve"> / </w:t>
          </w:r>
          <w:r w:rsidRPr="002A3FFD">
            <w:rPr>
              <w:rFonts w:ascii="Times New Roman" w:hAnsi="Times New Roman"/>
            </w:rPr>
            <w:fldChar w:fldCharType="begin"/>
          </w:r>
          <w:r w:rsidR="00A159C4" w:rsidRPr="002A3FFD">
            <w:rPr>
              <w:rFonts w:ascii="Times New Roman" w:hAnsi="Times New Roman"/>
            </w:rPr>
            <w:instrText xml:space="preserve"> NUMPAGES  </w:instrText>
          </w:r>
          <w:r w:rsidRPr="002A3FFD">
            <w:rPr>
              <w:rFonts w:ascii="Times New Roman" w:hAnsi="Times New Roman"/>
            </w:rPr>
            <w:fldChar w:fldCharType="separate"/>
          </w:r>
          <w:r w:rsidR="00C718A0">
            <w:rPr>
              <w:rFonts w:ascii="Times New Roman" w:hAnsi="Times New Roman"/>
              <w:noProof/>
            </w:rPr>
            <w:t>3</w:t>
          </w:r>
          <w:r w:rsidRPr="002A3FFD">
            <w:rPr>
              <w:rFonts w:ascii="Times New Roman" w:hAnsi="Times New Roman"/>
            </w:rPr>
            <w:fldChar w:fldCharType="end"/>
          </w:r>
        </w:p>
      </w:tc>
    </w:tr>
  </w:tbl>
  <w:p w:rsidR="00A159C4" w:rsidRDefault="00A159C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0D93"/>
    <w:multiLevelType w:val="multilevel"/>
    <w:tmpl w:val="EC3093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FC35D9"/>
    <w:multiLevelType w:val="multilevel"/>
    <w:tmpl w:val="15C0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374"/>
    <w:rsid w:val="0003431A"/>
    <w:rsid w:val="00051342"/>
    <w:rsid w:val="00063D2F"/>
    <w:rsid w:val="00064AEE"/>
    <w:rsid w:val="000B1C2B"/>
    <w:rsid w:val="000B57C4"/>
    <w:rsid w:val="000C650C"/>
    <w:rsid w:val="000D14B9"/>
    <w:rsid w:val="000D2036"/>
    <w:rsid w:val="000D3234"/>
    <w:rsid w:val="000D3913"/>
    <w:rsid w:val="000D5679"/>
    <w:rsid w:val="000F07D9"/>
    <w:rsid w:val="00114815"/>
    <w:rsid w:val="00123257"/>
    <w:rsid w:val="00123CD2"/>
    <w:rsid w:val="0014254C"/>
    <w:rsid w:val="001510E5"/>
    <w:rsid w:val="00160F55"/>
    <w:rsid w:val="001633F4"/>
    <w:rsid w:val="00170325"/>
    <w:rsid w:val="00175660"/>
    <w:rsid w:val="001852BE"/>
    <w:rsid w:val="00191818"/>
    <w:rsid w:val="001926C5"/>
    <w:rsid w:val="001A6E4D"/>
    <w:rsid w:val="001D2CC0"/>
    <w:rsid w:val="00200431"/>
    <w:rsid w:val="00202BFE"/>
    <w:rsid w:val="00206C0A"/>
    <w:rsid w:val="00207388"/>
    <w:rsid w:val="00213C41"/>
    <w:rsid w:val="0022249E"/>
    <w:rsid w:val="002413CF"/>
    <w:rsid w:val="002472A3"/>
    <w:rsid w:val="002554BE"/>
    <w:rsid w:val="00256616"/>
    <w:rsid w:val="00256FBC"/>
    <w:rsid w:val="0025777E"/>
    <w:rsid w:val="00261DC0"/>
    <w:rsid w:val="0027772F"/>
    <w:rsid w:val="00295CCD"/>
    <w:rsid w:val="002A5A23"/>
    <w:rsid w:val="002C4D1F"/>
    <w:rsid w:val="002F1FDB"/>
    <w:rsid w:val="00307A8B"/>
    <w:rsid w:val="00323874"/>
    <w:rsid w:val="0032573A"/>
    <w:rsid w:val="0032578B"/>
    <w:rsid w:val="00326756"/>
    <w:rsid w:val="003376FA"/>
    <w:rsid w:val="00337986"/>
    <w:rsid w:val="003507A5"/>
    <w:rsid w:val="00351806"/>
    <w:rsid w:val="003527F0"/>
    <w:rsid w:val="0037327E"/>
    <w:rsid w:val="003A2E10"/>
    <w:rsid w:val="003A5132"/>
    <w:rsid w:val="003B22AD"/>
    <w:rsid w:val="003B6960"/>
    <w:rsid w:val="003C0E71"/>
    <w:rsid w:val="003C4935"/>
    <w:rsid w:val="003D3114"/>
    <w:rsid w:val="003E6ACA"/>
    <w:rsid w:val="0040278E"/>
    <w:rsid w:val="004205F8"/>
    <w:rsid w:val="004270AC"/>
    <w:rsid w:val="0043772F"/>
    <w:rsid w:val="0044174A"/>
    <w:rsid w:val="00444ED4"/>
    <w:rsid w:val="004463BE"/>
    <w:rsid w:val="00446414"/>
    <w:rsid w:val="004501D2"/>
    <w:rsid w:val="00463352"/>
    <w:rsid w:val="004759B3"/>
    <w:rsid w:val="00476C67"/>
    <w:rsid w:val="00483570"/>
    <w:rsid w:val="00495070"/>
    <w:rsid w:val="0049553C"/>
    <w:rsid w:val="004977FA"/>
    <w:rsid w:val="004A4832"/>
    <w:rsid w:val="004A4F9A"/>
    <w:rsid w:val="004C32B5"/>
    <w:rsid w:val="004C485D"/>
    <w:rsid w:val="004E05D8"/>
    <w:rsid w:val="004F255E"/>
    <w:rsid w:val="004F2EAF"/>
    <w:rsid w:val="004F73E3"/>
    <w:rsid w:val="00507346"/>
    <w:rsid w:val="00513B45"/>
    <w:rsid w:val="00525A0A"/>
    <w:rsid w:val="005314A8"/>
    <w:rsid w:val="00542386"/>
    <w:rsid w:val="005428CA"/>
    <w:rsid w:val="00546BC1"/>
    <w:rsid w:val="00562D25"/>
    <w:rsid w:val="0056541C"/>
    <w:rsid w:val="00571AAB"/>
    <w:rsid w:val="00580065"/>
    <w:rsid w:val="00591FBD"/>
    <w:rsid w:val="005A3AD0"/>
    <w:rsid w:val="005A5758"/>
    <w:rsid w:val="005A64D7"/>
    <w:rsid w:val="005B6B2E"/>
    <w:rsid w:val="005C14D9"/>
    <w:rsid w:val="005C6EF8"/>
    <w:rsid w:val="005C7974"/>
    <w:rsid w:val="005D3EC6"/>
    <w:rsid w:val="005D65F7"/>
    <w:rsid w:val="005D6A51"/>
    <w:rsid w:val="005E432D"/>
    <w:rsid w:val="005E5C9B"/>
    <w:rsid w:val="005E7C60"/>
    <w:rsid w:val="005F2AB8"/>
    <w:rsid w:val="005F4345"/>
    <w:rsid w:val="006202AC"/>
    <w:rsid w:val="00650ECE"/>
    <w:rsid w:val="0065599E"/>
    <w:rsid w:val="0066188C"/>
    <w:rsid w:val="00670B03"/>
    <w:rsid w:val="006844C6"/>
    <w:rsid w:val="00684702"/>
    <w:rsid w:val="00686D73"/>
    <w:rsid w:val="006A0FAA"/>
    <w:rsid w:val="006A4AC5"/>
    <w:rsid w:val="006A67F2"/>
    <w:rsid w:val="006B21B4"/>
    <w:rsid w:val="006B4F8B"/>
    <w:rsid w:val="006C0824"/>
    <w:rsid w:val="006C36C0"/>
    <w:rsid w:val="006D2CFE"/>
    <w:rsid w:val="006F069D"/>
    <w:rsid w:val="006F0750"/>
    <w:rsid w:val="00700374"/>
    <w:rsid w:val="007037E9"/>
    <w:rsid w:val="00726142"/>
    <w:rsid w:val="00737260"/>
    <w:rsid w:val="00765ED8"/>
    <w:rsid w:val="00774BF4"/>
    <w:rsid w:val="00774E28"/>
    <w:rsid w:val="00776511"/>
    <w:rsid w:val="00780F21"/>
    <w:rsid w:val="00783295"/>
    <w:rsid w:val="00794CAC"/>
    <w:rsid w:val="00795FBC"/>
    <w:rsid w:val="007A325E"/>
    <w:rsid w:val="007B1D8F"/>
    <w:rsid w:val="007B5F01"/>
    <w:rsid w:val="007E24BB"/>
    <w:rsid w:val="007F0C5F"/>
    <w:rsid w:val="0083632A"/>
    <w:rsid w:val="008400A3"/>
    <w:rsid w:val="00846371"/>
    <w:rsid w:val="00853D27"/>
    <w:rsid w:val="00855BEC"/>
    <w:rsid w:val="00856C87"/>
    <w:rsid w:val="0085768D"/>
    <w:rsid w:val="00881542"/>
    <w:rsid w:val="00882558"/>
    <w:rsid w:val="0088345A"/>
    <w:rsid w:val="00893665"/>
    <w:rsid w:val="008B7730"/>
    <w:rsid w:val="008C409A"/>
    <w:rsid w:val="008E5D9E"/>
    <w:rsid w:val="008F08D4"/>
    <w:rsid w:val="00904EB4"/>
    <w:rsid w:val="00910623"/>
    <w:rsid w:val="00912FF4"/>
    <w:rsid w:val="00920193"/>
    <w:rsid w:val="00925D27"/>
    <w:rsid w:val="00931CF1"/>
    <w:rsid w:val="009365FF"/>
    <w:rsid w:val="009459AB"/>
    <w:rsid w:val="00952DCC"/>
    <w:rsid w:val="009800B5"/>
    <w:rsid w:val="009A71E7"/>
    <w:rsid w:val="009B6D27"/>
    <w:rsid w:val="009E0027"/>
    <w:rsid w:val="009F115B"/>
    <w:rsid w:val="009F22AA"/>
    <w:rsid w:val="00A159C4"/>
    <w:rsid w:val="00A42987"/>
    <w:rsid w:val="00A549BF"/>
    <w:rsid w:val="00A568C3"/>
    <w:rsid w:val="00A63998"/>
    <w:rsid w:val="00A655D3"/>
    <w:rsid w:val="00A760D1"/>
    <w:rsid w:val="00A92D56"/>
    <w:rsid w:val="00AB63B6"/>
    <w:rsid w:val="00AC47AB"/>
    <w:rsid w:val="00AC60C0"/>
    <w:rsid w:val="00AD17A6"/>
    <w:rsid w:val="00AD721E"/>
    <w:rsid w:val="00B0376E"/>
    <w:rsid w:val="00B0448C"/>
    <w:rsid w:val="00B141C7"/>
    <w:rsid w:val="00B248D5"/>
    <w:rsid w:val="00B310B7"/>
    <w:rsid w:val="00B3114D"/>
    <w:rsid w:val="00B42A77"/>
    <w:rsid w:val="00B6274B"/>
    <w:rsid w:val="00B751FA"/>
    <w:rsid w:val="00B81F3B"/>
    <w:rsid w:val="00B847E4"/>
    <w:rsid w:val="00BA3534"/>
    <w:rsid w:val="00BA46B8"/>
    <w:rsid w:val="00BA46E1"/>
    <w:rsid w:val="00BA5BA1"/>
    <w:rsid w:val="00BB0E60"/>
    <w:rsid w:val="00BB1EBB"/>
    <w:rsid w:val="00C05EAF"/>
    <w:rsid w:val="00C220BD"/>
    <w:rsid w:val="00C27EE9"/>
    <w:rsid w:val="00C5318B"/>
    <w:rsid w:val="00C718A0"/>
    <w:rsid w:val="00C72B36"/>
    <w:rsid w:val="00C811D7"/>
    <w:rsid w:val="00CB19E7"/>
    <w:rsid w:val="00CB2AE8"/>
    <w:rsid w:val="00CB5435"/>
    <w:rsid w:val="00CB6A7B"/>
    <w:rsid w:val="00CC3844"/>
    <w:rsid w:val="00CC6DEA"/>
    <w:rsid w:val="00CD0899"/>
    <w:rsid w:val="00CD1C27"/>
    <w:rsid w:val="00CE7229"/>
    <w:rsid w:val="00D045DC"/>
    <w:rsid w:val="00D175AB"/>
    <w:rsid w:val="00D23650"/>
    <w:rsid w:val="00D31C7F"/>
    <w:rsid w:val="00D7087D"/>
    <w:rsid w:val="00D870E4"/>
    <w:rsid w:val="00DB2573"/>
    <w:rsid w:val="00DB7088"/>
    <w:rsid w:val="00DD3C03"/>
    <w:rsid w:val="00DD60A5"/>
    <w:rsid w:val="00DF1827"/>
    <w:rsid w:val="00E02363"/>
    <w:rsid w:val="00E03B38"/>
    <w:rsid w:val="00E07327"/>
    <w:rsid w:val="00E2046B"/>
    <w:rsid w:val="00E30551"/>
    <w:rsid w:val="00E34281"/>
    <w:rsid w:val="00E52E36"/>
    <w:rsid w:val="00E53167"/>
    <w:rsid w:val="00E674CB"/>
    <w:rsid w:val="00E716FC"/>
    <w:rsid w:val="00E75228"/>
    <w:rsid w:val="00E769AA"/>
    <w:rsid w:val="00EA1E78"/>
    <w:rsid w:val="00EA46F3"/>
    <w:rsid w:val="00EA7C00"/>
    <w:rsid w:val="00ED4E7C"/>
    <w:rsid w:val="00ED7E74"/>
    <w:rsid w:val="00EE6387"/>
    <w:rsid w:val="00F0706B"/>
    <w:rsid w:val="00F116BE"/>
    <w:rsid w:val="00F31A53"/>
    <w:rsid w:val="00F33956"/>
    <w:rsid w:val="00F428B9"/>
    <w:rsid w:val="00F46603"/>
    <w:rsid w:val="00F675D3"/>
    <w:rsid w:val="00F71455"/>
    <w:rsid w:val="00F76ACB"/>
    <w:rsid w:val="00F80D32"/>
    <w:rsid w:val="00F919F7"/>
    <w:rsid w:val="00FA1468"/>
    <w:rsid w:val="00FB1043"/>
    <w:rsid w:val="00FB5B46"/>
    <w:rsid w:val="00FC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42"/>
  </w:style>
  <w:style w:type="paragraph" w:styleId="Balk3">
    <w:name w:val="heading 3"/>
    <w:basedOn w:val="Normal"/>
    <w:link w:val="Balk3Char"/>
    <w:uiPriority w:val="9"/>
    <w:qFormat/>
    <w:rsid w:val="008F08D4"/>
    <w:pPr>
      <w:keepNext/>
      <w:spacing w:before="40" w:after="119" w:line="300" w:lineRule="auto"/>
      <w:ind w:firstLine="851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674C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37260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8F08D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1D2CC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1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59C4"/>
  </w:style>
  <w:style w:type="paragraph" w:styleId="Altbilgi">
    <w:name w:val="footer"/>
    <w:basedOn w:val="Normal"/>
    <w:link w:val="AltbilgiChar"/>
    <w:uiPriority w:val="99"/>
    <w:unhideWhenUsed/>
    <w:rsid w:val="00A1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5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u.edu.tr/strateji/sayfa/15885/20242028-stratejik-plani/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mu.edu.tr/kalite/sayfa/2866/politikalar/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232</cp:revision>
  <cp:lastPrinted>2024-12-03T06:22:00Z</cp:lastPrinted>
  <dcterms:created xsi:type="dcterms:W3CDTF">2023-11-01T11:07:00Z</dcterms:created>
  <dcterms:modified xsi:type="dcterms:W3CDTF">2024-12-03T11:03:00Z</dcterms:modified>
</cp:coreProperties>
</file>