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98" w:rsidRDefault="00C44D98" w:rsidP="00C44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Fakültemiz  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-2019 eğitim-öğretim yılında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 kapsamında "Yükseköğretim Kurumlarında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Lisans Düzeyindeki Programlar Arasında Geçiş, 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Kurumlar Arası Kredi Transferi Yapılması Esaslarına İlişkin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Yönetmelik"in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EA6">
        <w:rPr>
          <w:rFonts w:ascii="Times New Roman" w:hAnsi="Times New Roman" w:cs="Times New Roman"/>
          <w:sz w:val="24"/>
          <w:szCs w:val="24"/>
        </w:rPr>
        <w:t>ilgili maddelerine</w:t>
      </w:r>
      <w:r>
        <w:rPr>
          <w:rFonts w:ascii="Times New Roman" w:hAnsi="Times New Roman" w:cs="Times New Roman"/>
          <w:sz w:val="24"/>
          <w:szCs w:val="24"/>
        </w:rPr>
        <w:t xml:space="preserve"> göre öğrenci alımı yapılması uygun görülmüş olup, başvuru koşulları ve öğrenci kontenjanları aşağıda belirtilmiştir.</w:t>
      </w:r>
    </w:p>
    <w:p w:rsidR="00C44D98" w:rsidRDefault="00C44D98" w:rsidP="00C44D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5035"/>
        <w:tblW w:w="9301" w:type="dxa"/>
        <w:tblLook w:val="04A0"/>
      </w:tblPr>
      <w:tblGrid>
        <w:gridCol w:w="1302"/>
        <w:gridCol w:w="1634"/>
        <w:gridCol w:w="1588"/>
        <w:gridCol w:w="963"/>
        <w:gridCol w:w="953"/>
        <w:gridCol w:w="954"/>
        <w:gridCol w:w="953"/>
        <w:gridCol w:w="954"/>
      </w:tblGrid>
      <w:tr w:rsidR="00AE2D23" w:rsidRPr="00C44D98" w:rsidTr="00AE2D23">
        <w:trPr>
          <w:trHeight w:val="344"/>
        </w:trPr>
        <w:tc>
          <w:tcPr>
            <w:tcW w:w="1302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Anadal</w:t>
            </w:r>
            <w:proofErr w:type="spellEnd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proofErr w:type="spellStart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Yandal</w:t>
            </w:r>
            <w:proofErr w:type="spellEnd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Eğitimi için Öğrenci Alınacak Bölüm</w:t>
            </w:r>
          </w:p>
        </w:tc>
        <w:tc>
          <w:tcPr>
            <w:tcW w:w="1634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Anadal</w:t>
            </w:r>
            <w:proofErr w:type="spellEnd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Eğitimi için Başvuru Yapabilecek Programlar</w:t>
            </w:r>
          </w:p>
        </w:tc>
        <w:tc>
          <w:tcPr>
            <w:tcW w:w="1588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Yandal</w:t>
            </w:r>
            <w:proofErr w:type="spellEnd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Eğitimi için Başvuru Yapabilecek Programlar</w:t>
            </w:r>
          </w:p>
        </w:tc>
        <w:tc>
          <w:tcPr>
            <w:tcW w:w="963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1907" w:type="dxa"/>
            <w:gridSpan w:val="2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Çift </w:t>
            </w:r>
            <w:proofErr w:type="spellStart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Anadal</w:t>
            </w:r>
            <w:proofErr w:type="spellEnd"/>
          </w:p>
        </w:tc>
        <w:tc>
          <w:tcPr>
            <w:tcW w:w="1907" w:type="dxa"/>
            <w:gridSpan w:val="2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Yandal</w:t>
            </w:r>
            <w:proofErr w:type="spellEnd"/>
          </w:p>
        </w:tc>
      </w:tr>
      <w:tr w:rsidR="00AE2D23" w:rsidRPr="00C44D98" w:rsidTr="00AE2D23">
        <w:trPr>
          <w:trHeight w:val="344"/>
        </w:trPr>
        <w:tc>
          <w:tcPr>
            <w:tcW w:w="1302" w:type="dxa"/>
            <w:vMerge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Normal Öğretim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İkinci Öğretim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Normal Öğretim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b/>
                <w:sz w:val="18"/>
                <w:szCs w:val="18"/>
              </w:rPr>
              <w:t>İkinci Öğretim</w:t>
            </w:r>
          </w:p>
        </w:tc>
      </w:tr>
      <w:tr w:rsidR="00AE2D23" w:rsidRPr="00C44D98" w:rsidTr="00AE2D23">
        <w:trPr>
          <w:trHeight w:val="453"/>
        </w:trPr>
        <w:tc>
          <w:tcPr>
            <w:tcW w:w="1302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İşletme</w:t>
            </w:r>
          </w:p>
        </w:tc>
        <w:tc>
          <w:tcPr>
            <w:tcW w:w="1634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1-İktisat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2-Siyaset Bilimi ve Kamu yönetimi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3- Siyaset Bilimi ve Uluslararası İlişkiler</w:t>
            </w:r>
          </w:p>
        </w:tc>
        <w:tc>
          <w:tcPr>
            <w:tcW w:w="1588" w:type="dxa"/>
            <w:vMerge w:val="restart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1-İktisat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2-Siyaset Bilimi ve Kamu yönetimi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3- Siyaset Bilimi ve Uluslararası İlişkiler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4- Sosyoloji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5- Sağlık Yönetimi</w:t>
            </w: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E2D23" w:rsidRPr="00C44D98" w:rsidTr="00AE2D23">
        <w:trPr>
          <w:trHeight w:val="528"/>
        </w:trPr>
        <w:tc>
          <w:tcPr>
            <w:tcW w:w="1302" w:type="dxa"/>
            <w:vMerge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4.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E2D23" w:rsidRPr="00C44D98" w:rsidTr="00AE2D23">
        <w:trPr>
          <w:trHeight w:val="510"/>
        </w:trPr>
        <w:tc>
          <w:tcPr>
            <w:tcW w:w="1302" w:type="dxa"/>
            <w:vMerge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E2D23" w:rsidRPr="00C44D98" w:rsidTr="00AE2D23">
        <w:trPr>
          <w:trHeight w:val="249"/>
        </w:trPr>
        <w:tc>
          <w:tcPr>
            <w:tcW w:w="1302" w:type="dxa"/>
            <w:vMerge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6.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E2D23" w:rsidRPr="00C44D98" w:rsidTr="00AE2D23">
        <w:trPr>
          <w:trHeight w:val="453"/>
        </w:trPr>
        <w:tc>
          <w:tcPr>
            <w:tcW w:w="1302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İktisat</w:t>
            </w:r>
          </w:p>
        </w:tc>
        <w:tc>
          <w:tcPr>
            <w:tcW w:w="1634" w:type="dxa"/>
            <w:vMerge w:val="restart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1-İşletme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2-Siyaset Bilimi ve Kamu yönetimi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 xml:space="preserve">3- Siyaset Bilimi ve Uluslararası İlişkiler </w:t>
            </w:r>
          </w:p>
        </w:tc>
        <w:tc>
          <w:tcPr>
            <w:tcW w:w="1588" w:type="dxa"/>
            <w:vMerge w:val="restart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1-İktisat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2-Siyaset Bilimi ve Kamu yönetimi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3- Siyaset Bilimi ve Uluslararası İlişkiler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4- Sosyoloji</w:t>
            </w: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5- Sağlık Yönetimi</w:t>
            </w: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3.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E2D23" w:rsidRPr="00C44D98" w:rsidTr="00AE2D23">
        <w:trPr>
          <w:trHeight w:val="529"/>
        </w:trPr>
        <w:tc>
          <w:tcPr>
            <w:tcW w:w="1302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4.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E2D23" w:rsidRPr="00C44D98" w:rsidTr="00AE2D23">
        <w:trPr>
          <w:trHeight w:val="519"/>
        </w:trPr>
        <w:tc>
          <w:tcPr>
            <w:tcW w:w="1302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E2D23" w:rsidRPr="00C44D98" w:rsidTr="00AE2D23">
        <w:trPr>
          <w:trHeight w:val="249"/>
        </w:trPr>
        <w:tc>
          <w:tcPr>
            <w:tcW w:w="1302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AE2D23" w:rsidRPr="00C44D98" w:rsidRDefault="00AE2D23" w:rsidP="00AE2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6. Yarıyıl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Yok</w:t>
            </w:r>
          </w:p>
        </w:tc>
        <w:tc>
          <w:tcPr>
            <w:tcW w:w="953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vAlign w:val="center"/>
          </w:tcPr>
          <w:p w:rsidR="00AE2D23" w:rsidRPr="00C44D98" w:rsidRDefault="00AE2D23" w:rsidP="00AE2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D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AE2D23" w:rsidRDefault="00C44D98" w:rsidP="00C4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98">
        <w:rPr>
          <w:rFonts w:ascii="Times New Roman" w:hAnsi="Times New Roman" w:cs="Times New Roman"/>
          <w:b/>
          <w:sz w:val="24"/>
          <w:szCs w:val="24"/>
        </w:rPr>
        <w:t>KARAMANOĞLU MEHMETBEY ÜNİVERSİTESİ İKTİSADİ VE İDARİ BİLİMLER FAKÜLTESİ ÇİFT ANADAL VE YANDAL EĞİTİMİ İÇİNÖĞRENCİ KABUL EDECEK PROGRAMLAR VE ÖĞRENCİ KONTENJANLARI</w:t>
      </w: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Default="002B38F8" w:rsidP="00AE2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Çift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Anadal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için </w:t>
      </w:r>
      <w:r w:rsidR="00AE2D23" w:rsidRPr="00AE2D23">
        <w:rPr>
          <w:rFonts w:ascii="Times New Roman" w:hAnsi="Times New Roman" w:cs="Times New Roman"/>
          <w:b/>
          <w:sz w:val="28"/>
          <w:szCs w:val="28"/>
        </w:rPr>
        <w:t xml:space="preserve">Başvuru </w:t>
      </w:r>
      <w:proofErr w:type="gramStart"/>
      <w:r w:rsidR="00AE2D23" w:rsidRPr="00AE2D23">
        <w:rPr>
          <w:rFonts w:ascii="Times New Roman" w:hAnsi="Times New Roman" w:cs="Times New Roman"/>
          <w:b/>
          <w:sz w:val="28"/>
          <w:szCs w:val="28"/>
        </w:rPr>
        <w:t>Şartları :</w:t>
      </w:r>
      <w:proofErr w:type="gramEnd"/>
      <w:r w:rsidR="00AE2D23" w:rsidRPr="00AE2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D23" w:rsidRPr="00AE2D23" w:rsidRDefault="00AE2D23" w:rsidP="00AE2D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eğitimine başvuru yapabilmek için yukarıda tabloda verilen programlara kayıtlı öğrenci olmak.</w:t>
      </w:r>
    </w:p>
    <w:p w:rsidR="00AE2D23" w:rsidRDefault="00AE2D23" w:rsidP="00AE2D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Çİft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Programına başvuru yapmak isteyen öğrenciler </w:t>
      </w:r>
      <w:r w:rsidRPr="00AE2D23">
        <w:rPr>
          <w:rFonts w:ascii="Times New Roman" w:hAnsi="Times New Roman" w:cs="Times New Roman"/>
          <w:sz w:val="24"/>
          <w:szCs w:val="24"/>
        </w:rPr>
        <w:t xml:space="preserve">en erken üçüncü yarıyılın başında, en geç ise beşinci yarıyılın </w:t>
      </w:r>
      <w:proofErr w:type="gramStart"/>
      <w:r w:rsidRPr="00AE2D23">
        <w:rPr>
          <w:rFonts w:ascii="Times New Roman" w:hAnsi="Times New Roman" w:cs="Times New Roman"/>
          <w:sz w:val="24"/>
          <w:szCs w:val="24"/>
        </w:rPr>
        <w:t>başında  başvurabilir</w:t>
      </w:r>
      <w:proofErr w:type="gramEnd"/>
      <w:r w:rsidRPr="00AE2D23">
        <w:rPr>
          <w:rFonts w:ascii="Times New Roman" w:hAnsi="Times New Roman" w:cs="Times New Roman"/>
          <w:sz w:val="24"/>
          <w:szCs w:val="24"/>
        </w:rPr>
        <w:t>.</w:t>
      </w:r>
    </w:p>
    <w:p w:rsidR="002B38F8" w:rsidRPr="002B38F8" w:rsidRDefault="00AE2D23" w:rsidP="002B38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D23">
        <w:rPr>
          <w:rFonts w:ascii="Times New Roman" w:hAnsi="Times New Roman" w:cs="Times New Roman"/>
          <w:sz w:val="24"/>
          <w:szCs w:val="24"/>
        </w:rPr>
        <w:t xml:space="preserve">Başvuru anında </w:t>
      </w:r>
      <w:proofErr w:type="spellStart"/>
      <w:r w:rsidRPr="00AE2D23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AE2D23">
        <w:rPr>
          <w:rFonts w:ascii="Times New Roman" w:hAnsi="Times New Roman" w:cs="Times New Roman"/>
          <w:sz w:val="24"/>
          <w:szCs w:val="24"/>
        </w:rPr>
        <w:t xml:space="preserve"> diploma programındaki genel not ortalaması en az </w:t>
      </w:r>
      <w:r w:rsidRPr="00AE2D23">
        <w:rPr>
          <w:rFonts w:ascii="Times New Roman" w:hAnsi="Times New Roman" w:cs="Times New Roman"/>
          <w:b/>
          <w:sz w:val="24"/>
          <w:szCs w:val="24"/>
        </w:rPr>
        <w:t xml:space="preserve">4 üzerinden </w:t>
      </w:r>
      <w:r w:rsidR="004D2EA6">
        <w:rPr>
          <w:rFonts w:ascii="Times New Roman" w:hAnsi="Times New Roman" w:cs="Times New Roman"/>
          <w:b/>
          <w:sz w:val="24"/>
          <w:szCs w:val="24"/>
        </w:rPr>
        <w:t>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D23">
        <w:rPr>
          <w:rFonts w:ascii="Times New Roman" w:hAnsi="Times New Roman" w:cs="Times New Roman"/>
          <w:sz w:val="24"/>
          <w:szCs w:val="24"/>
        </w:rPr>
        <w:t>olan ve ana</w:t>
      </w:r>
      <w:r w:rsidR="004D2EA6">
        <w:rPr>
          <w:rFonts w:ascii="Times New Roman" w:hAnsi="Times New Roman" w:cs="Times New Roman"/>
          <w:sz w:val="24"/>
          <w:szCs w:val="24"/>
        </w:rPr>
        <w:t xml:space="preserve"> </w:t>
      </w:r>
      <w:r w:rsidRPr="00AE2D23">
        <w:rPr>
          <w:rFonts w:ascii="Times New Roman" w:hAnsi="Times New Roman" w:cs="Times New Roman"/>
          <w:sz w:val="24"/>
          <w:szCs w:val="24"/>
        </w:rPr>
        <w:t xml:space="preserve">dal diploma programının ilgili sınıfında başarı sıralaması itibari ile en üst %20’sinde bulunan öğrenciler ikinci </w:t>
      </w:r>
      <w:proofErr w:type="spellStart"/>
      <w:r w:rsidRPr="00AE2D23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AE2D23">
        <w:rPr>
          <w:rFonts w:ascii="Times New Roman" w:hAnsi="Times New Roman" w:cs="Times New Roman"/>
          <w:sz w:val="24"/>
          <w:szCs w:val="24"/>
        </w:rPr>
        <w:t xml:space="preserve"> diploma programına başvurabilirler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8F8" w:rsidRDefault="002B38F8" w:rsidP="002B38F8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Yandal</w:t>
      </w:r>
      <w:proofErr w:type="spellEnd"/>
      <w:r w:rsidRPr="002B38F8">
        <w:rPr>
          <w:rFonts w:ascii="Times New Roman" w:hAnsi="Times New Roman" w:cs="Times New Roman"/>
          <w:b/>
          <w:sz w:val="28"/>
          <w:szCs w:val="28"/>
        </w:rPr>
        <w:t xml:space="preserve"> için Başvuru </w:t>
      </w:r>
      <w:proofErr w:type="gramStart"/>
      <w:r w:rsidRPr="002B38F8">
        <w:rPr>
          <w:rFonts w:ascii="Times New Roman" w:hAnsi="Times New Roman" w:cs="Times New Roman"/>
          <w:b/>
          <w:sz w:val="28"/>
          <w:szCs w:val="28"/>
        </w:rPr>
        <w:t>Şartları :</w:t>
      </w:r>
      <w:proofErr w:type="gramEnd"/>
      <w:r w:rsidRPr="002B3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8F8" w:rsidRDefault="002B38F8" w:rsidP="002B38F8">
      <w:pPr>
        <w:pStyle w:val="ListeParagraf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38F8" w:rsidRPr="002B38F8" w:rsidRDefault="002B38F8" w:rsidP="002B38F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F8">
        <w:rPr>
          <w:rFonts w:ascii="Times New Roman" w:hAnsi="Times New Roman" w:cs="Times New Roman"/>
          <w:sz w:val="24"/>
          <w:szCs w:val="24"/>
        </w:rPr>
        <w:t xml:space="preserve">Öğrenci, </w:t>
      </w:r>
      <w:proofErr w:type="spellStart"/>
      <w:r w:rsidRPr="002B38F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2B38F8">
        <w:rPr>
          <w:rFonts w:ascii="Times New Roman" w:hAnsi="Times New Roman" w:cs="Times New Roman"/>
          <w:sz w:val="24"/>
          <w:szCs w:val="24"/>
        </w:rPr>
        <w:t xml:space="preserve"> programına, </w:t>
      </w:r>
      <w:proofErr w:type="spellStart"/>
      <w:r w:rsidRPr="002B38F8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2B38F8">
        <w:rPr>
          <w:rFonts w:ascii="Times New Roman" w:hAnsi="Times New Roman" w:cs="Times New Roman"/>
          <w:sz w:val="24"/>
          <w:szCs w:val="24"/>
        </w:rPr>
        <w:t xml:space="preserve"> lisans programının en erken üçüncü, en geç altıncı yarıyılın başında başvurabilir.</w:t>
      </w:r>
    </w:p>
    <w:p w:rsidR="002B38F8" w:rsidRPr="002B38F8" w:rsidRDefault="002B38F8" w:rsidP="002B38F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F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Pr="002B38F8">
        <w:rPr>
          <w:rFonts w:ascii="Times New Roman" w:hAnsi="Times New Roman" w:cs="Times New Roman"/>
          <w:sz w:val="24"/>
          <w:szCs w:val="24"/>
        </w:rPr>
        <w:t xml:space="preserve"> programına, başvurduğu yarıyıla kadar aldığı lisans programındaki tüm kredili dersleri başarıyla tamamlamış olan öğrenciler başvurabilir.</w:t>
      </w:r>
    </w:p>
    <w:p w:rsidR="002B38F8" w:rsidRDefault="002B38F8" w:rsidP="002B38F8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F8">
        <w:rPr>
          <w:rFonts w:ascii="Times New Roman" w:hAnsi="Times New Roman" w:cs="Times New Roman"/>
          <w:sz w:val="24"/>
          <w:szCs w:val="24"/>
        </w:rPr>
        <w:t xml:space="preserve">Öğrencinin başvuru sırasında </w:t>
      </w:r>
      <w:proofErr w:type="spellStart"/>
      <w:r w:rsidRPr="002B38F8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Pr="002B38F8">
        <w:rPr>
          <w:rFonts w:ascii="Times New Roman" w:hAnsi="Times New Roman" w:cs="Times New Roman"/>
          <w:sz w:val="24"/>
          <w:szCs w:val="24"/>
        </w:rPr>
        <w:t xml:space="preserve"> programındaki genel not ortalamasının en az </w:t>
      </w:r>
      <w:r w:rsidRPr="00AE2D23">
        <w:rPr>
          <w:rFonts w:ascii="Times New Roman" w:hAnsi="Times New Roman" w:cs="Times New Roman"/>
          <w:b/>
          <w:sz w:val="24"/>
          <w:szCs w:val="24"/>
        </w:rPr>
        <w:t>4 üzerinden 2,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AE2D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8F8">
        <w:rPr>
          <w:rFonts w:ascii="Times New Roman" w:hAnsi="Times New Roman" w:cs="Times New Roman"/>
          <w:sz w:val="24"/>
          <w:szCs w:val="24"/>
        </w:rPr>
        <w:t>olması</w:t>
      </w:r>
      <w:proofErr w:type="gramEnd"/>
      <w:r w:rsidRPr="002B38F8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2B38F8" w:rsidRDefault="002B38F8" w:rsidP="002B38F8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F8" w:rsidRPr="002B38F8" w:rsidRDefault="002B38F8" w:rsidP="002B38F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F8">
        <w:rPr>
          <w:rFonts w:ascii="Times New Roman" w:hAnsi="Times New Roman" w:cs="Times New Roman"/>
          <w:b/>
          <w:sz w:val="28"/>
          <w:szCs w:val="28"/>
        </w:rPr>
        <w:t xml:space="preserve">Başvuru </w:t>
      </w:r>
      <w:proofErr w:type="gramStart"/>
      <w:r w:rsidRPr="002B38F8">
        <w:rPr>
          <w:rFonts w:ascii="Times New Roman" w:hAnsi="Times New Roman" w:cs="Times New Roman"/>
          <w:b/>
          <w:sz w:val="28"/>
          <w:szCs w:val="28"/>
        </w:rPr>
        <w:t>Takvimi :</w:t>
      </w:r>
      <w:proofErr w:type="gramEnd"/>
    </w:p>
    <w:p w:rsidR="002B38F8" w:rsidRDefault="002B38F8" w:rsidP="002B38F8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2B38F8" w:rsidRPr="00D83375" w:rsidRDefault="002B38F8" w:rsidP="00D8337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 w:rsidRPr="00D83375">
        <w:rPr>
          <w:rFonts w:ascii="Times New Roman" w:hAnsi="Times New Roman" w:cs="Times New Roman"/>
          <w:b/>
          <w:sz w:val="28"/>
          <w:szCs w:val="28"/>
        </w:rPr>
        <w:t>1</w:t>
      </w:r>
      <w:r w:rsidR="004D2EA6">
        <w:rPr>
          <w:rFonts w:ascii="Times New Roman" w:hAnsi="Times New Roman" w:cs="Times New Roman"/>
          <w:b/>
          <w:sz w:val="28"/>
          <w:szCs w:val="28"/>
        </w:rPr>
        <w:t>2</w:t>
      </w:r>
      <w:r w:rsidRPr="00D83375">
        <w:rPr>
          <w:rFonts w:ascii="Times New Roman" w:hAnsi="Times New Roman" w:cs="Times New Roman"/>
          <w:b/>
          <w:sz w:val="28"/>
          <w:szCs w:val="28"/>
        </w:rPr>
        <w:t>-1</w:t>
      </w:r>
      <w:r w:rsidR="004C0C3C">
        <w:rPr>
          <w:rFonts w:ascii="Times New Roman" w:hAnsi="Times New Roman" w:cs="Times New Roman"/>
          <w:b/>
          <w:sz w:val="28"/>
          <w:szCs w:val="28"/>
        </w:rPr>
        <w:t>9</w:t>
      </w:r>
      <w:r w:rsidRPr="00D83375">
        <w:rPr>
          <w:rFonts w:ascii="Times New Roman" w:hAnsi="Times New Roman" w:cs="Times New Roman"/>
          <w:b/>
          <w:sz w:val="28"/>
          <w:szCs w:val="28"/>
        </w:rPr>
        <w:t xml:space="preserve"> Eylül 2018</w:t>
      </w:r>
      <w:r w:rsidRPr="00D83375">
        <w:rPr>
          <w:rFonts w:ascii="Times New Roman" w:hAnsi="Times New Roman" w:cs="Times New Roman"/>
          <w:sz w:val="24"/>
          <w:szCs w:val="24"/>
        </w:rPr>
        <w:t xml:space="preserve"> </w:t>
      </w:r>
      <w:r w:rsidRPr="00D83375">
        <w:rPr>
          <w:rFonts w:ascii="Times New Roman" w:hAnsi="Times New Roman" w:cs="Times New Roman"/>
          <w:sz w:val="24"/>
          <w:szCs w:val="24"/>
        </w:rPr>
        <w:tab/>
      </w:r>
      <w:r w:rsidRPr="00D83375">
        <w:rPr>
          <w:rFonts w:ascii="Times New Roman" w:hAnsi="Times New Roman" w:cs="Times New Roman"/>
          <w:sz w:val="28"/>
          <w:szCs w:val="28"/>
        </w:rPr>
        <w:t>:</w:t>
      </w:r>
      <w:r w:rsidRPr="00D83375">
        <w:rPr>
          <w:rFonts w:ascii="Times New Roman" w:hAnsi="Times New Roman" w:cs="Times New Roman"/>
          <w:sz w:val="24"/>
          <w:szCs w:val="24"/>
        </w:rPr>
        <w:t xml:space="preserve"> Başvuru dönemi</w:t>
      </w:r>
    </w:p>
    <w:p w:rsidR="002B38F8" w:rsidRDefault="004C0C3C" w:rsidP="00D8337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D83375" w:rsidRPr="00D83375">
        <w:rPr>
          <w:rFonts w:ascii="Times New Roman" w:hAnsi="Times New Roman" w:cs="Times New Roman"/>
          <w:b/>
          <w:sz w:val="28"/>
          <w:szCs w:val="28"/>
        </w:rPr>
        <w:t xml:space="preserve">  Eylül</w:t>
      </w:r>
      <w:proofErr w:type="gramEnd"/>
      <w:r w:rsidR="00D83375" w:rsidRPr="00D8337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83375">
        <w:rPr>
          <w:rFonts w:ascii="Times New Roman" w:hAnsi="Times New Roman" w:cs="Times New Roman"/>
          <w:sz w:val="24"/>
          <w:szCs w:val="24"/>
        </w:rPr>
        <w:t xml:space="preserve"> </w:t>
      </w:r>
      <w:r w:rsidR="00D83375">
        <w:rPr>
          <w:rFonts w:ascii="Times New Roman" w:hAnsi="Times New Roman" w:cs="Times New Roman"/>
          <w:sz w:val="24"/>
          <w:szCs w:val="24"/>
        </w:rPr>
        <w:tab/>
      </w:r>
      <w:r w:rsidR="00D83375" w:rsidRPr="00D83375">
        <w:rPr>
          <w:rFonts w:ascii="Times New Roman" w:hAnsi="Times New Roman" w:cs="Times New Roman"/>
          <w:sz w:val="28"/>
          <w:szCs w:val="28"/>
        </w:rPr>
        <w:t>:</w:t>
      </w:r>
      <w:r w:rsidR="00D83375">
        <w:rPr>
          <w:rFonts w:ascii="Times New Roman" w:hAnsi="Times New Roman" w:cs="Times New Roman"/>
          <w:sz w:val="24"/>
          <w:szCs w:val="24"/>
        </w:rPr>
        <w:t xml:space="preserve"> Başvuruların değerlendirilmesi</w:t>
      </w:r>
      <w:r>
        <w:rPr>
          <w:rFonts w:ascii="Times New Roman" w:hAnsi="Times New Roman" w:cs="Times New Roman"/>
          <w:sz w:val="24"/>
          <w:szCs w:val="24"/>
        </w:rPr>
        <w:t xml:space="preserve"> ve Web sayfamızdan ilan edilmesi</w:t>
      </w:r>
    </w:p>
    <w:p w:rsidR="00D83375" w:rsidRDefault="004C0C3C" w:rsidP="00D83375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83375" w:rsidRPr="00D833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-24 </w:t>
      </w:r>
      <w:r w:rsidR="00D83375" w:rsidRPr="00D83375">
        <w:rPr>
          <w:rFonts w:ascii="Times New Roman" w:hAnsi="Times New Roman" w:cs="Times New Roman"/>
          <w:b/>
          <w:sz w:val="28"/>
          <w:szCs w:val="28"/>
        </w:rPr>
        <w:t>Eylül 2018</w:t>
      </w:r>
      <w:r w:rsidR="00D83375">
        <w:rPr>
          <w:rFonts w:ascii="Times New Roman" w:hAnsi="Times New Roman" w:cs="Times New Roman"/>
          <w:sz w:val="24"/>
          <w:szCs w:val="24"/>
        </w:rPr>
        <w:tab/>
      </w:r>
      <w:r w:rsidR="00D83375" w:rsidRPr="00D83375">
        <w:rPr>
          <w:rFonts w:ascii="Times New Roman" w:hAnsi="Times New Roman" w:cs="Times New Roman"/>
          <w:sz w:val="28"/>
          <w:szCs w:val="28"/>
        </w:rPr>
        <w:t>:</w:t>
      </w:r>
      <w:r w:rsidRPr="004C0C3C">
        <w:rPr>
          <w:rFonts w:ascii="Times New Roman" w:hAnsi="Times New Roman" w:cs="Times New Roman"/>
          <w:sz w:val="24"/>
          <w:szCs w:val="24"/>
        </w:rPr>
        <w:t xml:space="preserve"> </w:t>
      </w:r>
      <w:r w:rsidRPr="00D83375">
        <w:rPr>
          <w:rFonts w:ascii="Times New Roman" w:hAnsi="Times New Roman" w:cs="Times New Roman"/>
          <w:sz w:val="24"/>
          <w:szCs w:val="24"/>
        </w:rPr>
        <w:t>Öğrenci Kayıtlarının yapılması</w:t>
      </w:r>
    </w:p>
    <w:p w:rsidR="00D83375" w:rsidRPr="00D83375" w:rsidRDefault="00D83375" w:rsidP="00D83375">
      <w:pPr>
        <w:pStyle w:val="ListeParagraf"/>
        <w:ind w:left="0"/>
        <w:rPr>
          <w:rFonts w:ascii="Times New Roman" w:hAnsi="Times New Roman" w:cs="Times New Roman"/>
          <w:sz w:val="28"/>
          <w:szCs w:val="28"/>
        </w:rPr>
      </w:pPr>
      <w:r w:rsidRPr="00D83375">
        <w:rPr>
          <w:rFonts w:ascii="Times New Roman" w:hAnsi="Times New Roman" w:cs="Times New Roman"/>
          <w:b/>
          <w:sz w:val="28"/>
          <w:szCs w:val="28"/>
        </w:rPr>
        <w:t>24 Eylül 2018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9E3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375">
        <w:rPr>
          <w:rFonts w:ascii="Times New Roman" w:hAnsi="Times New Roman" w:cs="Times New Roman"/>
          <w:sz w:val="24"/>
          <w:szCs w:val="24"/>
        </w:rPr>
        <w:t>Derslerin Başlaması</w:t>
      </w:r>
    </w:p>
    <w:p w:rsidR="00D83375" w:rsidRPr="002B38F8" w:rsidRDefault="00D83375" w:rsidP="002B38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B38F8" w:rsidRPr="002B38F8" w:rsidRDefault="002B38F8" w:rsidP="002B38F8">
      <w:pPr>
        <w:pStyle w:val="ListeParagraf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AE2D23" w:rsidRPr="00AE2D23" w:rsidRDefault="00AE2D23" w:rsidP="00AE2D23">
      <w:pPr>
        <w:rPr>
          <w:rFonts w:ascii="Times New Roman" w:hAnsi="Times New Roman" w:cs="Times New Roman"/>
          <w:sz w:val="24"/>
          <w:szCs w:val="24"/>
        </w:rPr>
      </w:pPr>
    </w:p>
    <w:p w:rsidR="00D27B9B" w:rsidRPr="00AE2D23" w:rsidRDefault="00D27B9B" w:rsidP="00AE2D23">
      <w:pPr>
        <w:rPr>
          <w:rFonts w:ascii="Times New Roman" w:hAnsi="Times New Roman" w:cs="Times New Roman"/>
          <w:sz w:val="24"/>
          <w:szCs w:val="24"/>
        </w:rPr>
      </w:pPr>
    </w:p>
    <w:sectPr w:rsidR="00D27B9B" w:rsidRPr="00AE2D23" w:rsidSect="00DF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30FE4"/>
    <w:multiLevelType w:val="hybridMultilevel"/>
    <w:tmpl w:val="D2328146"/>
    <w:lvl w:ilvl="0" w:tplc="DB62BE9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28FE"/>
    <w:multiLevelType w:val="hybridMultilevel"/>
    <w:tmpl w:val="1C1CB5DA"/>
    <w:lvl w:ilvl="0" w:tplc="F8766DD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226C9"/>
    <w:rsid w:val="0006640B"/>
    <w:rsid w:val="002B38F8"/>
    <w:rsid w:val="002C2F4D"/>
    <w:rsid w:val="004C0C3C"/>
    <w:rsid w:val="004D2EA6"/>
    <w:rsid w:val="004D5E85"/>
    <w:rsid w:val="00713BED"/>
    <w:rsid w:val="008226C9"/>
    <w:rsid w:val="009E354B"/>
    <w:rsid w:val="00AE2D23"/>
    <w:rsid w:val="00AF258B"/>
    <w:rsid w:val="00C44D98"/>
    <w:rsid w:val="00C538FE"/>
    <w:rsid w:val="00D27B9B"/>
    <w:rsid w:val="00D83375"/>
    <w:rsid w:val="00DA4F22"/>
    <w:rsid w:val="00DF3199"/>
    <w:rsid w:val="00ED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2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cp:lastPrinted>2018-09-11T08:09:00Z</cp:lastPrinted>
  <dcterms:created xsi:type="dcterms:W3CDTF">2018-09-17T07:18:00Z</dcterms:created>
  <dcterms:modified xsi:type="dcterms:W3CDTF">2018-09-17T07:19:00Z</dcterms:modified>
</cp:coreProperties>
</file>